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E8B51" w14:textId="77777777" w:rsidR="00D62922" w:rsidRPr="00443CC8" w:rsidRDefault="00D62922" w:rsidP="006B2089">
      <w:pPr>
        <w:jc w:val="both"/>
        <w:rPr>
          <w:color w:val="000000"/>
        </w:rPr>
      </w:pPr>
    </w:p>
    <w:p w14:paraId="13E578DF" w14:textId="11360DFA" w:rsidR="00D90A5D" w:rsidRDefault="00D62922" w:rsidP="006B2089">
      <w:pPr>
        <w:rPr>
          <w:lang w:val="en-US"/>
        </w:rPr>
      </w:pPr>
      <w:r w:rsidRPr="006B2089">
        <w:rPr>
          <w:lang w:val="en-US"/>
        </w:rPr>
        <w:t xml:space="preserve">After having explored and analyzed </w:t>
      </w:r>
      <w:r w:rsidRPr="006B2089">
        <w:rPr>
          <w:color w:val="0000FF"/>
          <w:lang w:val="en-US"/>
        </w:rPr>
        <w:t xml:space="preserve">Figure 2 </w:t>
      </w:r>
      <w:r w:rsidRPr="006B2089">
        <w:rPr>
          <w:lang w:val="en-US"/>
        </w:rPr>
        <w:t>along</w:t>
      </w:r>
      <w:r w:rsidR="00383E93">
        <w:rPr>
          <w:lang w:val="en-US"/>
        </w:rPr>
        <w:t>side</w:t>
      </w:r>
      <w:r w:rsidRPr="006B2089">
        <w:rPr>
          <w:lang w:val="en-US"/>
        </w:rPr>
        <w:t xml:space="preserve"> epidemiologists, we notice</w:t>
      </w:r>
      <w:r w:rsidR="00383E93">
        <w:rPr>
          <w:lang w:val="en-US"/>
        </w:rPr>
        <w:t>d</w:t>
      </w:r>
      <w:r w:rsidRPr="006B2089">
        <w:rPr>
          <w:lang w:val="en-US"/>
        </w:rPr>
        <w:t xml:space="preserve"> that the reconstructed </w:t>
      </w:r>
      <w:proofErr w:type="spellStart"/>
      <w:r w:rsidRPr="006B2089">
        <w:rPr>
          <w:lang w:val="en-US"/>
        </w:rPr>
        <w:t>phylomemy</w:t>
      </w:r>
      <w:proofErr w:type="spellEnd"/>
      <w:r w:rsidRPr="006B2089">
        <w:rPr>
          <w:lang w:val="en-US"/>
        </w:rPr>
        <w:t xml:space="preserve"> clearly retrieves five </w:t>
      </w:r>
      <w:r w:rsidR="002A45D0" w:rsidRPr="006B2089">
        <w:rPr>
          <w:lang w:val="en-US"/>
        </w:rPr>
        <w:t>ma</w:t>
      </w:r>
      <w:r w:rsidR="002A45D0">
        <w:rPr>
          <w:lang w:val="en-US"/>
        </w:rPr>
        <w:t>jor</w:t>
      </w:r>
      <w:r w:rsidR="002A45D0" w:rsidRPr="006B2089">
        <w:rPr>
          <w:lang w:val="en-US"/>
        </w:rPr>
        <w:t xml:space="preserve"> </w:t>
      </w:r>
      <w:r w:rsidRPr="006B2089">
        <w:rPr>
          <w:lang w:val="en-US"/>
        </w:rPr>
        <w:t xml:space="preserve">COVID-19 vaccine platforms </w:t>
      </w:r>
      <w:r w:rsidR="002A45D0" w:rsidRPr="00C53E3C">
        <w:rPr>
          <w:lang w:val="en-US"/>
        </w:rPr>
        <w:t>in the form of complete branches</w:t>
      </w:r>
      <w:r w:rsidR="0049594D">
        <w:rPr>
          <w:lang w:val="en-US"/>
        </w:rPr>
        <w:t>. These platforms</w:t>
      </w:r>
      <w:r w:rsidR="002A45D0">
        <w:rPr>
          <w:lang w:val="en-US"/>
        </w:rPr>
        <w:t xml:space="preserve"> includ</w:t>
      </w:r>
      <w:r w:rsidR="0049594D">
        <w:rPr>
          <w:lang w:val="en-US"/>
        </w:rPr>
        <w:t>e</w:t>
      </w:r>
      <w:r w:rsidR="00D90A5D">
        <w:rPr>
          <w:lang w:val="en-US"/>
        </w:rPr>
        <w:t xml:space="preserve"> </w:t>
      </w:r>
      <w:r w:rsidR="002A45D0">
        <w:rPr>
          <w:lang w:val="en-US"/>
        </w:rPr>
        <w:t xml:space="preserve">the classical vaccine platforms i.e., </w:t>
      </w:r>
      <w:r w:rsidR="005C61C2" w:rsidRPr="006B2089">
        <w:rPr>
          <w:rFonts w:hint="eastAsia"/>
          <w:lang w:val="en-US"/>
        </w:rPr>
        <w:t>‘</w:t>
      </w:r>
      <w:r w:rsidR="00FC0E46">
        <w:rPr>
          <w:i/>
          <w:iCs/>
          <w:lang w:val="en-US"/>
        </w:rPr>
        <w:t>n</w:t>
      </w:r>
      <w:r w:rsidRPr="006B2089">
        <w:rPr>
          <w:i/>
          <w:iCs/>
          <w:lang w:val="en-US"/>
        </w:rPr>
        <w:t>on-replicating viral vector</w:t>
      </w:r>
      <w:r w:rsidR="005C61C2" w:rsidRPr="006B2089">
        <w:rPr>
          <w:rFonts w:hint="eastAsia"/>
          <w:i/>
          <w:iCs/>
          <w:lang w:val="en-US"/>
        </w:rPr>
        <w:t>’</w:t>
      </w:r>
      <w:r w:rsidRPr="006B2089">
        <w:rPr>
          <w:lang w:val="en-US"/>
        </w:rPr>
        <w:t xml:space="preserve">, </w:t>
      </w:r>
      <w:r w:rsidR="005C61C2" w:rsidRPr="006B2089">
        <w:rPr>
          <w:rFonts w:hint="eastAsia"/>
          <w:lang w:val="en-US"/>
        </w:rPr>
        <w:t>‘</w:t>
      </w:r>
      <w:r w:rsidRPr="006B2089">
        <w:rPr>
          <w:i/>
          <w:iCs/>
          <w:lang w:val="en-US"/>
        </w:rPr>
        <w:t>inactivated virus</w:t>
      </w:r>
      <w:r w:rsidR="005C61C2" w:rsidRPr="006B2089">
        <w:rPr>
          <w:rFonts w:hint="eastAsia"/>
          <w:i/>
          <w:iCs/>
          <w:lang w:val="en-US"/>
        </w:rPr>
        <w:t>’</w:t>
      </w:r>
      <w:r w:rsidRPr="006B2089">
        <w:rPr>
          <w:lang w:val="en-US"/>
        </w:rPr>
        <w:t xml:space="preserve"> and </w:t>
      </w:r>
      <w:r w:rsidR="005C61C2" w:rsidRPr="006B2089">
        <w:rPr>
          <w:rFonts w:hint="eastAsia"/>
          <w:lang w:val="en-US"/>
        </w:rPr>
        <w:t>‘</w:t>
      </w:r>
      <w:r w:rsidRPr="006B2089">
        <w:rPr>
          <w:i/>
          <w:iCs/>
          <w:lang w:val="en-US"/>
        </w:rPr>
        <w:t>protein subunit</w:t>
      </w:r>
      <w:r w:rsidR="005C61C2" w:rsidRPr="006B2089">
        <w:rPr>
          <w:rFonts w:hint="eastAsia"/>
          <w:i/>
          <w:iCs/>
          <w:lang w:val="en-US"/>
        </w:rPr>
        <w:t>’</w:t>
      </w:r>
      <w:r w:rsidRPr="006B2089">
        <w:rPr>
          <w:lang w:val="en-US"/>
        </w:rPr>
        <w:t xml:space="preserve"> </w:t>
      </w:r>
      <w:r w:rsidR="002A45D0">
        <w:rPr>
          <w:lang w:val="en-US"/>
        </w:rPr>
        <w:t>as well as the next-generation vaccine platform i.e.,</w:t>
      </w:r>
      <w:r w:rsidR="006B2089">
        <w:rPr>
          <w:lang w:val="en-US"/>
        </w:rPr>
        <w:t xml:space="preserve"> </w:t>
      </w:r>
      <w:r w:rsidR="002A45D0" w:rsidRPr="00C53E3C">
        <w:rPr>
          <w:lang w:val="en-US"/>
        </w:rPr>
        <w:t>‘</w:t>
      </w:r>
      <w:r w:rsidR="002A45D0" w:rsidRPr="00C53E3C">
        <w:rPr>
          <w:i/>
          <w:iCs/>
          <w:lang w:val="en-US"/>
        </w:rPr>
        <w:t>DNA based vaccine</w:t>
      </w:r>
      <w:r w:rsidR="002A45D0">
        <w:rPr>
          <w:i/>
          <w:iCs/>
          <w:lang w:val="en-US"/>
        </w:rPr>
        <w:t>s</w:t>
      </w:r>
      <w:r w:rsidR="002A45D0" w:rsidRPr="00C53E3C">
        <w:rPr>
          <w:i/>
          <w:iCs/>
          <w:lang w:val="en-US"/>
        </w:rPr>
        <w:t>’</w:t>
      </w:r>
      <w:r w:rsidR="002A45D0">
        <w:rPr>
          <w:lang w:val="en-US"/>
        </w:rPr>
        <w:t xml:space="preserve"> and</w:t>
      </w:r>
      <w:r w:rsidR="002A45D0" w:rsidRPr="00C53E3C">
        <w:rPr>
          <w:lang w:val="en-US"/>
        </w:rPr>
        <w:t xml:space="preserve"> ‘</w:t>
      </w:r>
      <w:r w:rsidR="002A45D0" w:rsidRPr="00C53E3C">
        <w:rPr>
          <w:i/>
          <w:iCs/>
          <w:lang w:val="en-US"/>
        </w:rPr>
        <w:t xml:space="preserve">RNA based </w:t>
      </w:r>
      <w:proofErr w:type="gramStart"/>
      <w:r w:rsidR="002A45D0" w:rsidRPr="00C53E3C">
        <w:rPr>
          <w:i/>
          <w:iCs/>
          <w:lang w:val="en-US"/>
        </w:rPr>
        <w:t>vaccine</w:t>
      </w:r>
      <w:r w:rsidR="002A45D0">
        <w:rPr>
          <w:i/>
          <w:iCs/>
          <w:lang w:val="en-US"/>
        </w:rPr>
        <w:t>s</w:t>
      </w:r>
      <w:r w:rsidR="002A45D0" w:rsidRPr="00C53E3C">
        <w:rPr>
          <w:i/>
          <w:iCs/>
          <w:lang w:val="en-US"/>
        </w:rPr>
        <w:t>’</w:t>
      </w:r>
      <w:proofErr w:type="gramEnd"/>
      <w:r w:rsidRPr="006B2089">
        <w:rPr>
          <w:lang w:val="en-US"/>
        </w:rPr>
        <w:t xml:space="preserve">. The visualization </w:t>
      </w:r>
      <w:r w:rsidR="0049594D">
        <w:rPr>
          <w:lang w:val="en-US"/>
        </w:rPr>
        <w:t>(</w:t>
      </w:r>
      <w:r w:rsidR="0049594D" w:rsidRPr="00C53E3C">
        <w:rPr>
          <w:lang w:val="en-US"/>
        </w:rPr>
        <w:t xml:space="preserve">see </w:t>
      </w:r>
      <w:r w:rsidR="0049594D" w:rsidRPr="00C53E3C">
        <w:rPr>
          <w:color w:val="0000FF"/>
          <w:lang w:val="en-US"/>
        </w:rPr>
        <w:t>Figure 2</w:t>
      </w:r>
      <w:r w:rsidR="0049594D" w:rsidRPr="00C53E3C">
        <w:rPr>
          <w:lang w:val="en-US"/>
        </w:rPr>
        <w:t>.a)</w:t>
      </w:r>
      <w:r w:rsidR="0049594D">
        <w:rPr>
          <w:lang w:val="en-US"/>
        </w:rPr>
        <w:t xml:space="preserve"> </w:t>
      </w:r>
      <w:r w:rsidRPr="006B2089">
        <w:rPr>
          <w:lang w:val="en-US"/>
        </w:rPr>
        <w:t xml:space="preserve">shows the continuous development of each branch and the way </w:t>
      </w:r>
      <w:r w:rsidR="00383E93">
        <w:rPr>
          <w:lang w:val="en-US"/>
        </w:rPr>
        <w:t xml:space="preserve">that </w:t>
      </w:r>
      <w:r w:rsidR="00443CC8" w:rsidRPr="00C53E3C">
        <w:rPr>
          <w:lang w:val="en-US"/>
        </w:rPr>
        <w:t xml:space="preserve">some </w:t>
      </w:r>
      <w:r w:rsidRPr="006B2089">
        <w:rPr>
          <w:lang w:val="en-US"/>
        </w:rPr>
        <w:t>interact</w:t>
      </w:r>
      <w:r w:rsidR="00383E93">
        <w:rPr>
          <w:lang w:val="en-US"/>
        </w:rPr>
        <w:t>ed</w:t>
      </w:r>
      <w:r w:rsidRPr="006B2089">
        <w:rPr>
          <w:lang w:val="en-US"/>
        </w:rPr>
        <w:t xml:space="preserve"> and eventually blended</w:t>
      </w:r>
      <w:r w:rsidR="00443CC8">
        <w:rPr>
          <w:lang w:val="en-US"/>
        </w:rPr>
        <w:t xml:space="preserve"> while other</w:t>
      </w:r>
      <w:r w:rsidR="00383E93">
        <w:rPr>
          <w:lang w:val="en-US"/>
        </w:rPr>
        <w:t>s</w:t>
      </w:r>
      <w:r w:rsidR="00443CC8">
        <w:rPr>
          <w:lang w:val="en-US"/>
        </w:rPr>
        <w:t xml:space="preserve"> </w:t>
      </w:r>
      <w:r w:rsidR="00443CC8" w:rsidRPr="00C53E3C">
        <w:rPr>
          <w:lang w:val="en-US"/>
        </w:rPr>
        <w:t>stopped</w:t>
      </w:r>
      <w:r w:rsidRPr="006B2089">
        <w:rPr>
          <w:lang w:val="en-US"/>
        </w:rPr>
        <w:t xml:space="preserve">. </w:t>
      </w:r>
      <w:r w:rsidR="006B2089">
        <w:rPr>
          <w:lang w:val="en-US"/>
        </w:rPr>
        <w:t>Interestingly</w:t>
      </w:r>
      <w:r w:rsidR="002A45D0">
        <w:rPr>
          <w:lang w:val="en-US"/>
        </w:rPr>
        <w:t>, t</w:t>
      </w:r>
      <w:r w:rsidR="003C6AE7" w:rsidRPr="006B2089">
        <w:rPr>
          <w:lang w:val="en-US"/>
        </w:rPr>
        <w:t>rials of</w:t>
      </w:r>
      <w:r w:rsidRPr="006B2089">
        <w:rPr>
          <w:lang w:val="en-US"/>
        </w:rPr>
        <w:t xml:space="preserve"> </w:t>
      </w:r>
      <w:r w:rsidRPr="006B2089">
        <w:rPr>
          <w:rFonts w:hint="eastAsia"/>
          <w:lang w:val="en-US"/>
        </w:rPr>
        <w:t>‘</w:t>
      </w:r>
      <w:r w:rsidRPr="006B2089">
        <w:rPr>
          <w:i/>
          <w:iCs/>
          <w:lang w:val="en-US"/>
        </w:rPr>
        <w:t>RNA based vaccines</w:t>
      </w:r>
      <w:r w:rsidRPr="006B2089">
        <w:rPr>
          <w:rFonts w:hint="eastAsia"/>
          <w:lang w:val="en-US"/>
        </w:rPr>
        <w:t>’</w:t>
      </w:r>
      <w:r w:rsidRPr="006B2089">
        <w:rPr>
          <w:lang w:val="en-US"/>
        </w:rPr>
        <w:t xml:space="preserve"> were </w:t>
      </w:r>
      <w:r w:rsidR="003C6AE7" w:rsidRPr="006B2089">
        <w:rPr>
          <w:lang w:val="en-US"/>
        </w:rPr>
        <w:t>registered</w:t>
      </w:r>
      <w:r w:rsidRPr="006B2089">
        <w:rPr>
          <w:lang w:val="en-US"/>
        </w:rPr>
        <w:t xml:space="preserve"> very </w:t>
      </w:r>
      <w:r w:rsidR="003C6AE7" w:rsidRPr="006B2089">
        <w:rPr>
          <w:lang w:val="en-US"/>
        </w:rPr>
        <w:t xml:space="preserve">early </w:t>
      </w:r>
      <w:r w:rsidRPr="006B2089">
        <w:rPr>
          <w:lang w:val="en-US"/>
        </w:rPr>
        <w:t>in the course of the pandemic (February 2020)</w:t>
      </w:r>
      <w:r w:rsidR="002A45D0">
        <w:rPr>
          <w:lang w:val="en-US"/>
        </w:rPr>
        <w:t xml:space="preserve"> with </w:t>
      </w:r>
      <w:r w:rsidR="0049594D">
        <w:rPr>
          <w:lang w:val="en-US"/>
        </w:rPr>
        <w:t>trials</w:t>
      </w:r>
      <w:r w:rsidR="003C6AE7" w:rsidRPr="006B2089">
        <w:rPr>
          <w:lang w:val="en-US"/>
        </w:rPr>
        <w:t xml:space="preserve"> </w:t>
      </w:r>
      <w:r w:rsidRPr="006B2089">
        <w:rPr>
          <w:lang w:val="en-US"/>
        </w:rPr>
        <w:t xml:space="preserve">evaluating the vaccine developed by </w:t>
      </w:r>
      <w:proofErr w:type="spellStart"/>
      <w:r w:rsidRPr="006B2089">
        <w:rPr>
          <w:i/>
          <w:iCs/>
          <w:lang w:val="en-US"/>
        </w:rPr>
        <w:t>Moderna</w:t>
      </w:r>
      <w:proofErr w:type="spellEnd"/>
      <w:r w:rsidRPr="006B2089">
        <w:rPr>
          <w:i/>
          <w:iCs/>
          <w:lang w:val="en-US"/>
        </w:rPr>
        <w:t xml:space="preserve"> TX </w:t>
      </w:r>
      <w:r w:rsidRPr="006B2089">
        <w:rPr>
          <w:lang w:val="en-US"/>
        </w:rPr>
        <w:t xml:space="preserve">(mRNA-1273) followed by the vaccine developed by </w:t>
      </w:r>
      <w:r w:rsidRPr="006B2089">
        <w:rPr>
          <w:i/>
          <w:iCs/>
          <w:lang w:val="en-US"/>
        </w:rPr>
        <w:t xml:space="preserve">Pfizer/BioNTech </w:t>
      </w:r>
      <w:r w:rsidRPr="006B2089">
        <w:rPr>
          <w:lang w:val="en-US"/>
        </w:rPr>
        <w:t>(BNT162b2</w:t>
      </w:r>
      <w:r w:rsidR="0049594D">
        <w:rPr>
          <w:lang w:val="en-US"/>
        </w:rPr>
        <w:t>)</w:t>
      </w:r>
      <w:r w:rsidRPr="006B2089">
        <w:rPr>
          <w:lang w:val="en-US"/>
        </w:rPr>
        <w:t>. The number of</w:t>
      </w:r>
      <w:r w:rsidR="00F31249">
        <w:rPr>
          <w:lang w:val="en-US"/>
        </w:rPr>
        <w:t xml:space="preserve"> these</w:t>
      </w:r>
      <w:r w:rsidR="00F31249" w:rsidRPr="001E24EC">
        <w:rPr>
          <w:lang w:val="en-US"/>
        </w:rPr>
        <w:t xml:space="preserve"> </w:t>
      </w:r>
      <w:r w:rsidRPr="006B2089">
        <w:rPr>
          <w:lang w:val="en-US"/>
        </w:rPr>
        <w:t xml:space="preserve">trials increased rapidly </w:t>
      </w:r>
      <w:r w:rsidR="007310DA">
        <w:rPr>
          <w:lang w:val="en-US"/>
        </w:rPr>
        <w:t>and</w:t>
      </w:r>
      <w:r w:rsidR="007310DA" w:rsidRPr="006B2089">
        <w:rPr>
          <w:lang w:val="en-US"/>
        </w:rPr>
        <w:t xml:space="preserve"> </w:t>
      </w:r>
      <w:r w:rsidRPr="006B2089">
        <w:rPr>
          <w:lang w:val="en-US"/>
        </w:rPr>
        <w:t>inter</w:t>
      </w:r>
      <w:r w:rsidR="00F16122" w:rsidRPr="006B2089">
        <w:rPr>
          <w:lang w:val="en-US"/>
        </w:rPr>
        <w:t>a</w:t>
      </w:r>
      <w:r w:rsidRPr="006B2089">
        <w:rPr>
          <w:lang w:val="en-US"/>
        </w:rPr>
        <w:t>ctions with other widely explored techniques</w:t>
      </w:r>
      <w:r w:rsidR="007310DA">
        <w:rPr>
          <w:lang w:val="en-US"/>
        </w:rPr>
        <w:t xml:space="preserve"> were observed</w:t>
      </w:r>
      <w:r w:rsidR="00693011">
        <w:rPr>
          <w:lang w:val="en-US"/>
        </w:rPr>
        <w:t>,</w:t>
      </w:r>
      <w:r w:rsidRPr="006B2089">
        <w:rPr>
          <w:lang w:val="en-US"/>
        </w:rPr>
        <w:t xml:space="preserve"> </w:t>
      </w:r>
      <w:r w:rsidR="00E57864">
        <w:rPr>
          <w:lang w:val="en-US"/>
        </w:rPr>
        <w:t xml:space="preserve">notably with </w:t>
      </w:r>
      <w:r w:rsidRPr="006B2089">
        <w:rPr>
          <w:lang w:val="en-US"/>
        </w:rPr>
        <w:t xml:space="preserve">the </w:t>
      </w:r>
      <w:r w:rsidRPr="006B2089">
        <w:rPr>
          <w:rFonts w:hint="eastAsia"/>
          <w:lang w:val="en-US"/>
        </w:rPr>
        <w:t>‘</w:t>
      </w:r>
      <w:r w:rsidR="002A45D0">
        <w:rPr>
          <w:i/>
          <w:iCs/>
          <w:lang w:val="en-US"/>
        </w:rPr>
        <w:t>n</w:t>
      </w:r>
      <w:r w:rsidR="002A45D0" w:rsidRPr="006B2089">
        <w:rPr>
          <w:i/>
          <w:iCs/>
          <w:lang w:val="en-US"/>
        </w:rPr>
        <w:t>on</w:t>
      </w:r>
      <w:r w:rsidRPr="006B2089">
        <w:rPr>
          <w:i/>
          <w:iCs/>
          <w:lang w:val="en-US"/>
        </w:rPr>
        <w:t>-replicating viral vector</w:t>
      </w:r>
      <w:r w:rsidRPr="006B2089">
        <w:rPr>
          <w:rFonts w:hint="eastAsia"/>
          <w:lang w:val="en-US"/>
        </w:rPr>
        <w:t>’</w:t>
      </w:r>
      <w:r w:rsidRPr="006B2089">
        <w:rPr>
          <w:lang w:val="en-US"/>
        </w:rPr>
        <w:t xml:space="preserve"> family</w:t>
      </w:r>
      <w:r w:rsidR="00A41E0C">
        <w:rPr>
          <w:lang w:val="en-US"/>
        </w:rPr>
        <w:t xml:space="preserve"> (</w:t>
      </w:r>
      <w:r w:rsidR="00A41E0C" w:rsidRPr="006B2089">
        <w:rPr>
          <w:lang w:val="en-US"/>
        </w:rPr>
        <w:t>ChAdOx1</w:t>
      </w:r>
      <w:r w:rsidR="00A41E0C">
        <w:rPr>
          <w:lang w:val="en-US"/>
        </w:rPr>
        <w:t>-</w:t>
      </w:r>
      <w:r w:rsidR="00A41E0C" w:rsidRPr="006B2089">
        <w:rPr>
          <w:lang w:val="en-US"/>
        </w:rPr>
        <w:t xml:space="preserve"> </w:t>
      </w:r>
      <w:r w:rsidR="00A41E0C" w:rsidRPr="00917928">
        <w:rPr>
          <w:lang w:val="en-US"/>
        </w:rPr>
        <w:t>Astra Zeneca</w:t>
      </w:r>
      <w:r w:rsidR="00A41E0C">
        <w:rPr>
          <w:lang w:val="en-US"/>
        </w:rPr>
        <w:t>)</w:t>
      </w:r>
      <w:r w:rsidRPr="006B2089">
        <w:rPr>
          <w:lang w:val="en-US"/>
        </w:rPr>
        <w:t xml:space="preserve">. </w:t>
      </w:r>
      <w:r w:rsidR="00FC0E46">
        <w:rPr>
          <w:lang w:val="en-US"/>
        </w:rPr>
        <w:t>The l</w:t>
      </w:r>
      <w:r w:rsidR="00C800D4">
        <w:rPr>
          <w:lang w:val="en-US"/>
        </w:rPr>
        <w:t>atest i</w:t>
      </w:r>
      <w:r w:rsidR="00DB35E3">
        <w:rPr>
          <w:lang w:val="en-US"/>
        </w:rPr>
        <w:t>nter</w:t>
      </w:r>
      <w:r w:rsidR="00EB4648">
        <w:rPr>
          <w:lang w:val="en-US"/>
        </w:rPr>
        <w:t xml:space="preserve">action </w:t>
      </w:r>
      <w:r w:rsidR="00FC0E46">
        <w:rPr>
          <w:lang w:val="en-US"/>
        </w:rPr>
        <w:t>involve</w:t>
      </w:r>
      <w:r w:rsidR="00E57864">
        <w:rPr>
          <w:lang w:val="en-US"/>
        </w:rPr>
        <w:t>d</w:t>
      </w:r>
      <w:r w:rsidR="00FC0E46">
        <w:rPr>
          <w:lang w:val="en-US"/>
        </w:rPr>
        <w:t xml:space="preserve"> the </w:t>
      </w:r>
      <w:r w:rsidR="00EB4648">
        <w:rPr>
          <w:lang w:val="en-US"/>
        </w:rPr>
        <w:t xml:space="preserve">‘Protein subunit’ branch </w:t>
      </w:r>
      <w:r w:rsidR="00FC0E46">
        <w:rPr>
          <w:lang w:val="en-US"/>
        </w:rPr>
        <w:t>in</w:t>
      </w:r>
      <w:r w:rsidR="00EB4648">
        <w:rPr>
          <w:lang w:val="en-US"/>
        </w:rPr>
        <w:t xml:space="preserve"> July 2021. </w:t>
      </w:r>
      <w:r w:rsidRPr="006B2089">
        <w:rPr>
          <w:lang w:val="en-US"/>
        </w:rPr>
        <w:t xml:space="preserve">In contrast, </w:t>
      </w:r>
      <w:r w:rsidRPr="006B2089">
        <w:rPr>
          <w:rFonts w:hint="eastAsia"/>
          <w:lang w:val="en-US"/>
        </w:rPr>
        <w:t>‘</w:t>
      </w:r>
      <w:r w:rsidRPr="006B2089">
        <w:rPr>
          <w:i/>
          <w:iCs/>
          <w:lang w:val="en-US"/>
        </w:rPr>
        <w:t>DNA based vaccine</w:t>
      </w:r>
      <w:r w:rsidR="00383E93">
        <w:rPr>
          <w:i/>
          <w:iCs/>
          <w:lang w:val="en-US"/>
        </w:rPr>
        <w:t>s</w:t>
      </w:r>
      <w:r w:rsidRPr="006B2089">
        <w:rPr>
          <w:rFonts w:hint="eastAsia"/>
          <w:lang w:val="en-US"/>
        </w:rPr>
        <w:t>’</w:t>
      </w:r>
      <w:r w:rsidRPr="006B2089">
        <w:rPr>
          <w:lang w:val="en-US"/>
        </w:rPr>
        <w:t xml:space="preserve">, with a first trial registered in </w:t>
      </w:r>
      <w:r w:rsidR="006B2089" w:rsidRPr="00CB3F66">
        <w:rPr>
          <w:highlight w:val="yellow"/>
          <w:lang w:val="en-US"/>
        </w:rPr>
        <w:t>April</w:t>
      </w:r>
      <w:r w:rsidR="006B2089" w:rsidRPr="00CB3F66">
        <w:rPr>
          <w:highlight w:val="yellow"/>
          <w:lang w:val="en-US"/>
        </w:rPr>
        <w:t xml:space="preserve"> </w:t>
      </w:r>
      <w:r w:rsidRPr="006B2089">
        <w:rPr>
          <w:highlight w:val="yellow"/>
          <w:lang w:val="en-US"/>
        </w:rPr>
        <w:t>2020</w:t>
      </w:r>
      <w:r w:rsidRPr="006B2089">
        <w:rPr>
          <w:lang w:val="en-US"/>
        </w:rPr>
        <w:t>, had a very limited number of trials planned</w:t>
      </w:r>
      <w:r w:rsidR="00443CC8">
        <w:rPr>
          <w:lang w:val="en-US"/>
        </w:rPr>
        <w:t xml:space="preserve"> and its branch stopped</w:t>
      </w:r>
      <w:r w:rsidR="00D90A5D">
        <w:rPr>
          <w:lang w:val="en-US"/>
        </w:rPr>
        <w:t xml:space="preserve"> rapidly</w:t>
      </w:r>
      <w:r w:rsidR="00443CC8">
        <w:rPr>
          <w:lang w:val="en-US"/>
        </w:rPr>
        <w:t xml:space="preserve"> in 2020</w:t>
      </w:r>
      <w:r w:rsidRPr="006B2089">
        <w:rPr>
          <w:lang w:val="en-US"/>
        </w:rPr>
        <w:t xml:space="preserve">.  </w:t>
      </w:r>
      <w:r w:rsidR="008D37ED">
        <w:rPr>
          <w:lang w:val="en-US"/>
        </w:rPr>
        <w:t xml:space="preserve">Similarly, other platforms of </w:t>
      </w:r>
      <w:r w:rsidR="00FC0E46">
        <w:rPr>
          <w:lang w:val="en-US"/>
        </w:rPr>
        <w:t>‘</w:t>
      </w:r>
      <w:r w:rsidR="008D37ED" w:rsidRPr="006B2089">
        <w:rPr>
          <w:i/>
          <w:iCs/>
          <w:lang w:val="en-US"/>
        </w:rPr>
        <w:t>replicating viral vector vaccine</w:t>
      </w:r>
      <w:r w:rsidR="008D37ED">
        <w:rPr>
          <w:lang w:val="en-US"/>
        </w:rPr>
        <w:t>,</w:t>
      </w:r>
      <w:r w:rsidR="00FC0E46">
        <w:rPr>
          <w:lang w:val="en-US"/>
        </w:rPr>
        <w:t>’</w:t>
      </w:r>
      <w:r w:rsidR="008D37ED">
        <w:rPr>
          <w:lang w:val="en-US"/>
        </w:rPr>
        <w:t xml:space="preserve"> </w:t>
      </w:r>
      <w:r w:rsidR="00FC0E46">
        <w:rPr>
          <w:lang w:val="en-US"/>
        </w:rPr>
        <w:t>‘</w:t>
      </w:r>
      <w:r w:rsidR="008D37ED" w:rsidRPr="006B2089">
        <w:rPr>
          <w:i/>
          <w:iCs/>
          <w:lang w:val="en-US"/>
        </w:rPr>
        <w:t>virus-like particle vaccine</w:t>
      </w:r>
      <w:r w:rsidR="00FC0E46">
        <w:rPr>
          <w:i/>
          <w:iCs/>
          <w:lang w:val="en-US"/>
        </w:rPr>
        <w:t>’</w:t>
      </w:r>
      <w:r w:rsidR="008D37ED">
        <w:rPr>
          <w:lang w:val="en-US"/>
        </w:rPr>
        <w:t xml:space="preserve"> and </w:t>
      </w:r>
      <w:r w:rsidR="00FC0E46">
        <w:rPr>
          <w:lang w:val="en-US"/>
        </w:rPr>
        <w:t>‘</w:t>
      </w:r>
      <w:r w:rsidR="008D37ED" w:rsidRPr="006B2089">
        <w:rPr>
          <w:i/>
          <w:iCs/>
          <w:lang w:val="en-US"/>
        </w:rPr>
        <w:t>live attenuated virus vaccine</w:t>
      </w:r>
      <w:r w:rsidR="00E57864">
        <w:rPr>
          <w:i/>
          <w:iCs/>
          <w:lang w:val="en-US"/>
        </w:rPr>
        <w:t>’</w:t>
      </w:r>
      <w:r w:rsidR="008D37ED">
        <w:rPr>
          <w:lang w:val="en-US"/>
        </w:rPr>
        <w:t xml:space="preserve"> showed a very limited development. </w:t>
      </w:r>
    </w:p>
    <w:p w14:paraId="6303D5FD" w14:textId="00A4C5B0" w:rsidR="00D62922" w:rsidRDefault="00D90A5D" w:rsidP="0005467E">
      <w:pPr>
        <w:rPr>
          <w:lang w:val="en-US"/>
        </w:rPr>
      </w:pPr>
      <w:r>
        <w:rPr>
          <w:lang w:val="en-US"/>
        </w:rPr>
        <w:t xml:space="preserve">As the development and approval of COVID-19 vaccines was expected to take time, researchers also </w:t>
      </w:r>
      <w:r w:rsidR="002A45D0">
        <w:rPr>
          <w:lang w:val="en-US"/>
        </w:rPr>
        <w:t>explored repurposing non-C</w:t>
      </w:r>
      <w:r w:rsidR="0081103E">
        <w:rPr>
          <w:lang w:val="en-US"/>
        </w:rPr>
        <w:t>OVID</w:t>
      </w:r>
      <w:r w:rsidR="002A45D0">
        <w:rPr>
          <w:lang w:val="en-US"/>
        </w:rPr>
        <w:t xml:space="preserve"> vaccines</w:t>
      </w:r>
      <w:r w:rsidR="008B4D8F">
        <w:rPr>
          <w:lang w:val="en-US"/>
        </w:rPr>
        <w:t xml:space="preserve">. </w:t>
      </w:r>
      <w:r w:rsidR="00F864A8">
        <w:rPr>
          <w:lang w:val="en-US"/>
        </w:rPr>
        <w:t xml:space="preserve">Considering the lower severity of the disease in children and young adults, some researchers hypothesized the possible heterologous protective effect of these vaccines. </w:t>
      </w:r>
      <w:r w:rsidR="009A370D">
        <w:rPr>
          <w:lang w:val="en-US"/>
        </w:rPr>
        <w:t>S</w:t>
      </w:r>
      <w:r w:rsidR="004A48A1">
        <w:rPr>
          <w:lang w:val="en-US"/>
        </w:rPr>
        <w:t>ome evidence show</w:t>
      </w:r>
      <w:r w:rsidR="009A370D">
        <w:rPr>
          <w:lang w:val="en-US"/>
        </w:rPr>
        <w:t>s</w:t>
      </w:r>
      <w:r w:rsidR="004A48A1">
        <w:rPr>
          <w:lang w:val="en-US"/>
        </w:rPr>
        <w:t xml:space="preserve"> that </w:t>
      </w:r>
      <w:r w:rsidR="004A48A1" w:rsidRPr="006B2089">
        <w:rPr>
          <w:lang w:val="en-US"/>
        </w:rPr>
        <w:t xml:space="preserve">live-attenuated vaccines </w:t>
      </w:r>
      <w:r w:rsidR="004A48A1">
        <w:rPr>
          <w:lang w:val="en-US"/>
        </w:rPr>
        <w:t xml:space="preserve">such as </w:t>
      </w:r>
      <w:proofErr w:type="spellStart"/>
      <w:r w:rsidR="004A48A1" w:rsidRPr="00C53E3C">
        <w:rPr>
          <w:lang w:val="en-US"/>
        </w:rPr>
        <w:t>Bacille</w:t>
      </w:r>
      <w:proofErr w:type="spellEnd"/>
      <w:r w:rsidR="004A48A1" w:rsidRPr="00C53E3C">
        <w:rPr>
          <w:lang w:val="en-US"/>
        </w:rPr>
        <w:t xml:space="preserve"> Calmette–Guerin (BCG), Measles, Mumps, Rubella (MMR)</w:t>
      </w:r>
      <w:r w:rsidR="004A48A1">
        <w:rPr>
          <w:lang w:val="en-US"/>
        </w:rPr>
        <w:t xml:space="preserve"> </w:t>
      </w:r>
      <w:r w:rsidR="009A370D">
        <w:rPr>
          <w:lang w:val="en-US"/>
        </w:rPr>
        <w:t xml:space="preserve">can </w:t>
      </w:r>
      <w:r w:rsidR="004A48A1" w:rsidRPr="006B2089">
        <w:rPr>
          <w:lang w:val="en-US"/>
        </w:rPr>
        <w:t>induce protective innate immunity</w:t>
      </w:r>
      <w:r w:rsidR="004A48A1">
        <w:rPr>
          <w:lang w:val="en-US"/>
        </w:rPr>
        <w:t xml:space="preserve">, which could be central in controlling </w:t>
      </w:r>
      <w:r w:rsidR="004A48A1" w:rsidRPr="006B2089">
        <w:rPr>
          <w:lang w:val="en-US"/>
        </w:rPr>
        <w:t>SARS-CoV-2</w:t>
      </w:r>
      <w:r w:rsidR="004A48A1" w:rsidRPr="00524C3A">
        <w:rPr>
          <w:rFonts w:ascii="Open Sans" w:hAnsi="Open Sans" w:cs="Open Sans"/>
          <w:color w:val="333333"/>
          <w:sz w:val="23"/>
          <w:szCs w:val="23"/>
          <w:shd w:val="clear" w:color="auto" w:fill="FFFFFF"/>
          <w:lang w:val="en-US"/>
        </w:rPr>
        <w:t xml:space="preserve"> </w:t>
      </w:r>
      <w:r w:rsidR="004A48A1">
        <w:rPr>
          <w:lang w:val="en-US"/>
        </w:rPr>
        <w:t>(</w:t>
      </w:r>
      <w:r w:rsidR="004A48A1" w:rsidRPr="00C53E3C">
        <w:rPr>
          <w:highlight w:val="yellow"/>
          <w:lang w:val="en-US"/>
        </w:rPr>
        <w:t>ref</w:t>
      </w:r>
      <w:r w:rsidR="0005467E">
        <w:rPr>
          <w:highlight w:val="yellow"/>
          <w:lang w:val="en-US"/>
        </w:rPr>
        <w:t xml:space="preserve"> PNAS</w:t>
      </w:r>
      <w:r w:rsidR="004A48A1" w:rsidRPr="00C53E3C">
        <w:rPr>
          <w:rFonts w:ascii="Open Sans" w:hAnsi="Open Sans" w:cs="Open Sans"/>
          <w:color w:val="333333"/>
          <w:sz w:val="18"/>
          <w:szCs w:val="18"/>
          <w:shd w:val="clear" w:color="auto" w:fill="FFFFFF"/>
          <w:lang w:val="en-US"/>
        </w:rPr>
        <w:t>)</w:t>
      </w:r>
      <w:r w:rsidR="008D37ED">
        <w:rPr>
          <w:lang w:val="en-US"/>
        </w:rPr>
        <w:t xml:space="preserve">. </w:t>
      </w:r>
      <w:r w:rsidR="004A48A1">
        <w:rPr>
          <w:lang w:val="en-US"/>
        </w:rPr>
        <w:t>While this hypothesis was appealing, it did not seem to expand in</w:t>
      </w:r>
      <w:r w:rsidR="009A370D">
        <w:rPr>
          <w:lang w:val="en-US"/>
        </w:rPr>
        <w:t>to</w:t>
      </w:r>
      <w:r w:rsidR="004A48A1">
        <w:rPr>
          <w:lang w:val="en-US"/>
        </w:rPr>
        <w:t xml:space="preserve"> a wide</w:t>
      </w:r>
      <w:r w:rsidR="009A370D">
        <w:rPr>
          <w:lang w:val="en-US"/>
        </w:rPr>
        <w:t>r</w:t>
      </w:r>
      <w:r w:rsidR="004A48A1">
        <w:rPr>
          <w:lang w:val="en-US"/>
        </w:rPr>
        <w:t xml:space="preserve"> research domain. </w:t>
      </w:r>
      <w:r w:rsidR="008B4D8F">
        <w:rPr>
          <w:lang w:val="en-US"/>
        </w:rPr>
        <w:t xml:space="preserve">The branch of </w:t>
      </w:r>
      <w:r w:rsidR="008B4D8F" w:rsidRPr="00C53E3C">
        <w:rPr>
          <w:lang w:val="en-US"/>
        </w:rPr>
        <w:t>‘</w:t>
      </w:r>
      <w:r w:rsidR="008B4D8F">
        <w:rPr>
          <w:i/>
          <w:iCs/>
          <w:lang w:val="en-US"/>
        </w:rPr>
        <w:t>n</w:t>
      </w:r>
      <w:r w:rsidR="008B4D8F" w:rsidRPr="00C53E3C">
        <w:rPr>
          <w:i/>
          <w:iCs/>
          <w:lang w:val="en-US"/>
        </w:rPr>
        <w:t>on-</w:t>
      </w:r>
      <w:r w:rsidR="008B4D8F">
        <w:rPr>
          <w:i/>
          <w:iCs/>
          <w:lang w:val="en-US"/>
        </w:rPr>
        <w:t>COVID vaccines</w:t>
      </w:r>
      <w:r w:rsidR="008B4D8F" w:rsidRPr="00C53E3C">
        <w:rPr>
          <w:lang w:val="en-US"/>
        </w:rPr>
        <w:t xml:space="preserve">’ </w:t>
      </w:r>
      <w:r w:rsidR="008B4D8F">
        <w:rPr>
          <w:lang w:val="en-US"/>
        </w:rPr>
        <w:t>appears and expand</w:t>
      </w:r>
      <w:r w:rsidR="009A370D">
        <w:rPr>
          <w:lang w:val="en-US"/>
        </w:rPr>
        <w:t>s</w:t>
      </w:r>
      <w:r w:rsidR="008B4D8F">
        <w:rPr>
          <w:lang w:val="en-US"/>
        </w:rPr>
        <w:t xml:space="preserve"> at the beginning of the pandemic but </w:t>
      </w:r>
      <w:r w:rsidR="00D62922" w:rsidRPr="006B2089">
        <w:rPr>
          <w:lang w:val="en-US"/>
        </w:rPr>
        <w:t>progressively decrease</w:t>
      </w:r>
      <w:r w:rsidR="00FC2598">
        <w:rPr>
          <w:lang w:val="en-US"/>
        </w:rPr>
        <w:t>s</w:t>
      </w:r>
      <w:r w:rsidR="00D62922" w:rsidRPr="006B2089">
        <w:rPr>
          <w:lang w:val="en-US"/>
        </w:rPr>
        <w:t xml:space="preserve"> </w:t>
      </w:r>
      <w:r w:rsidR="00FC2598">
        <w:rPr>
          <w:lang w:val="en-US"/>
        </w:rPr>
        <w:t>towards</w:t>
      </w:r>
      <w:r w:rsidR="00D62922" w:rsidRPr="006B2089">
        <w:rPr>
          <w:lang w:val="en-US"/>
        </w:rPr>
        <w:t xml:space="preserve"> the end of 2020 as </w:t>
      </w:r>
      <w:r w:rsidR="005C61C2" w:rsidRPr="006B2089">
        <w:rPr>
          <w:lang w:val="en-US"/>
        </w:rPr>
        <w:t xml:space="preserve">other </w:t>
      </w:r>
      <w:r w:rsidR="00D62922" w:rsidRPr="006B2089">
        <w:rPr>
          <w:lang w:val="en-US"/>
        </w:rPr>
        <w:t>more promising vaccines</w:t>
      </w:r>
      <w:r w:rsidR="00FC2598">
        <w:rPr>
          <w:lang w:val="en-US"/>
        </w:rPr>
        <w:t xml:space="preserve"> arose</w:t>
      </w:r>
      <w:r w:rsidR="00D62922" w:rsidRPr="006B2089">
        <w:rPr>
          <w:lang w:val="en-US"/>
        </w:rPr>
        <w:t xml:space="preserve">. </w:t>
      </w:r>
      <w:r w:rsidR="00203393">
        <w:rPr>
          <w:lang w:val="en-US"/>
        </w:rPr>
        <w:t>Nevertheless, some researchers</w:t>
      </w:r>
      <w:r w:rsidR="00D62922" w:rsidRPr="006B2089">
        <w:rPr>
          <w:lang w:val="en-US"/>
        </w:rPr>
        <w:t xml:space="preserve"> </w:t>
      </w:r>
      <w:r w:rsidR="00203393">
        <w:rPr>
          <w:lang w:val="en-US"/>
        </w:rPr>
        <w:t>highlight</w:t>
      </w:r>
      <w:r w:rsidR="0049594D">
        <w:rPr>
          <w:lang w:val="en-US"/>
        </w:rPr>
        <w:t>ed the need</w:t>
      </w:r>
      <w:r w:rsidR="00203393">
        <w:rPr>
          <w:lang w:val="en-US"/>
        </w:rPr>
        <w:t xml:space="preserve"> to </w:t>
      </w:r>
      <w:r w:rsidR="00FC2598">
        <w:rPr>
          <w:lang w:val="en-US"/>
        </w:rPr>
        <w:t xml:space="preserve">adequately </w:t>
      </w:r>
      <w:r w:rsidR="00203393">
        <w:rPr>
          <w:lang w:val="en-US"/>
        </w:rPr>
        <w:t xml:space="preserve">assess the use of non-COVID </w:t>
      </w:r>
      <w:r w:rsidR="00203393" w:rsidRPr="00C53E3C">
        <w:rPr>
          <w:lang w:val="en-US"/>
        </w:rPr>
        <w:t>live-attenuated vaccines</w:t>
      </w:r>
      <w:r w:rsidR="00203393">
        <w:rPr>
          <w:lang w:val="en-US"/>
        </w:rPr>
        <w:t xml:space="preserve"> as they could </w:t>
      </w:r>
      <w:r w:rsidR="005941C4">
        <w:rPr>
          <w:lang w:val="en-US"/>
        </w:rPr>
        <w:t xml:space="preserve">potentially </w:t>
      </w:r>
      <w:r w:rsidR="00203393">
        <w:rPr>
          <w:lang w:val="en-US"/>
        </w:rPr>
        <w:t>boost response in high-risk populations</w:t>
      </w:r>
      <w:r w:rsidR="00FC2598">
        <w:rPr>
          <w:lang w:val="en-US"/>
        </w:rPr>
        <w:t xml:space="preserve">, </w:t>
      </w:r>
      <w:r w:rsidR="00203393">
        <w:rPr>
          <w:lang w:val="en-US"/>
        </w:rPr>
        <w:t>be used in addition to COVID-vaccines to increase effectiveness and durability of their effect</w:t>
      </w:r>
      <w:r w:rsidR="00FC2598">
        <w:rPr>
          <w:lang w:val="en-US"/>
        </w:rPr>
        <w:t>,</w:t>
      </w:r>
      <w:r w:rsidR="00203393">
        <w:rPr>
          <w:lang w:val="en-US"/>
        </w:rPr>
        <w:t xml:space="preserve"> </w:t>
      </w:r>
      <w:r w:rsidR="00FC2598">
        <w:rPr>
          <w:lang w:val="en-US"/>
        </w:rPr>
        <w:t xml:space="preserve">or </w:t>
      </w:r>
      <w:r w:rsidR="00203393">
        <w:rPr>
          <w:lang w:val="en-US"/>
        </w:rPr>
        <w:t>be used to protect people exposed to COVID-19 patients (</w:t>
      </w:r>
      <w:r w:rsidR="00203393" w:rsidRPr="006B2089">
        <w:rPr>
          <w:highlight w:val="yellow"/>
          <w:lang w:val="en-US"/>
        </w:rPr>
        <w:t>ref PNAS</w:t>
      </w:r>
      <w:r w:rsidR="00203393">
        <w:rPr>
          <w:lang w:val="en-US"/>
        </w:rPr>
        <w:t>).</w:t>
      </w:r>
    </w:p>
    <w:p w14:paraId="6FF70ECD" w14:textId="77777777" w:rsidR="008D37ED" w:rsidRPr="006B2089" w:rsidRDefault="008D37ED" w:rsidP="006B2089">
      <w:pPr>
        <w:rPr>
          <w:lang w:val="en-US"/>
        </w:rPr>
      </w:pPr>
    </w:p>
    <w:p w14:paraId="39F762A3" w14:textId="1E9F4267" w:rsidR="00BB33DE" w:rsidRPr="006B2089" w:rsidRDefault="005F7E51" w:rsidP="00BB33DE">
      <w:pPr>
        <w:rPr>
          <w:lang w:val="en-US"/>
        </w:rPr>
      </w:pPr>
      <w:r>
        <w:rPr>
          <w:lang w:val="en-US"/>
        </w:rPr>
        <w:t>The i</w:t>
      </w:r>
      <w:r w:rsidR="002C05AC" w:rsidRPr="00443CC8">
        <w:rPr>
          <w:lang w:val="en-US"/>
        </w:rPr>
        <w:t xml:space="preserve">nteraction and merging of the branches </w:t>
      </w:r>
      <w:r w:rsidR="006B2089" w:rsidRPr="00443CC8">
        <w:rPr>
          <w:lang w:val="en-US"/>
        </w:rPr>
        <w:t>reflect</w:t>
      </w:r>
      <w:r w:rsidR="002C05AC" w:rsidRPr="00443CC8">
        <w:rPr>
          <w:lang w:val="en-US"/>
        </w:rPr>
        <w:t xml:space="preserve"> the exploration of </w:t>
      </w:r>
      <w:r w:rsidR="00E02983">
        <w:rPr>
          <w:lang w:val="en-US"/>
        </w:rPr>
        <w:t xml:space="preserve">a </w:t>
      </w:r>
      <w:r w:rsidR="002C05AC" w:rsidRPr="00443CC8">
        <w:rPr>
          <w:lang w:val="en-US"/>
        </w:rPr>
        <w:t xml:space="preserve">new approach to vaccine implementation moving from homologous </w:t>
      </w:r>
      <w:r w:rsidR="00D2474D">
        <w:rPr>
          <w:lang w:val="en-US"/>
        </w:rPr>
        <w:t xml:space="preserve">prime </w:t>
      </w:r>
      <w:r w:rsidR="002C05AC" w:rsidRPr="00443CC8">
        <w:rPr>
          <w:lang w:val="en-US"/>
        </w:rPr>
        <w:t xml:space="preserve">vaccination </w:t>
      </w:r>
      <w:r w:rsidR="002C05AC" w:rsidRPr="006B2089">
        <w:rPr>
          <w:lang w:val="en-US"/>
        </w:rPr>
        <w:t>(i.e., injections of two dose</w:t>
      </w:r>
      <w:r w:rsidR="0049594D">
        <w:rPr>
          <w:lang w:val="en-US"/>
        </w:rPr>
        <w:t>s</w:t>
      </w:r>
      <w:r w:rsidR="002C05AC" w:rsidRPr="006B2089">
        <w:rPr>
          <w:lang w:val="en-US"/>
        </w:rPr>
        <w:t xml:space="preserve"> of the same vaccine) to heterologous </w:t>
      </w:r>
      <w:r w:rsidR="00D2474D">
        <w:rPr>
          <w:lang w:val="en-US"/>
        </w:rPr>
        <w:t xml:space="preserve">prime </w:t>
      </w:r>
      <w:r w:rsidR="002C05AC" w:rsidRPr="006B2089">
        <w:rPr>
          <w:lang w:val="en-US"/>
        </w:rPr>
        <w:t>vaccination (i.e</w:t>
      </w:r>
      <w:r w:rsidR="00492EED" w:rsidRPr="006B2089">
        <w:rPr>
          <w:lang w:val="en-US"/>
        </w:rPr>
        <w:t>.</w:t>
      </w:r>
      <w:r w:rsidR="005941C4">
        <w:rPr>
          <w:lang w:val="en-US"/>
        </w:rPr>
        <w:t>,</w:t>
      </w:r>
      <w:r w:rsidR="002C05AC" w:rsidRPr="006B2089">
        <w:rPr>
          <w:lang w:val="en-US"/>
        </w:rPr>
        <w:t xml:space="preserve"> injection of the first dose of a given vaccine and the second dose of another vaccine)</w:t>
      </w:r>
      <w:r w:rsidR="00492EED" w:rsidRPr="006B2089">
        <w:rPr>
          <w:lang w:val="en-US"/>
        </w:rPr>
        <w:t xml:space="preserve">. This is clearly shown in figure 3 </w:t>
      </w:r>
      <w:r w:rsidR="0049594D">
        <w:rPr>
          <w:lang w:val="en-US"/>
        </w:rPr>
        <w:t>with the assessment</w:t>
      </w:r>
      <w:r w:rsidR="00E02983">
        <w:rPr>
          <w:lang w:val="en-US"/>
        </w:rPr>
        <w:t xml:space="preserve"> </w:t>
      </w:r>
      <w:r w:rsidR="0049594D">
        <w:rPr>
          <w:lang w:val="en-US"/>
        </w:rPr>
        <w:t xml:space="preserve">of the </w:t>
      </w:r>
      <w:r w:rsidR="00492EED" w:rsidRPr="006B2089">
        <w:rPr>
          <w:lang w:val="en-US"/>
        </w:rPr>
        <w:t xml:space="preserve">heterologous </w:t>
      </w:r>
      <w:r w:rsidR="00D2474D">
        <w:rPr>
          <w:lang w:val="en-US"/>
        </w:rPr>
        <w:t xml:space="preserve">prime </w:t>
      </w:r>
      <w:r w:rsidR="00492EED" w:rsidRPr="006B2089">
        <w:rPr>
          <w:lang w:val="en-US"/>
        </w:rPr>
        <w:t xml:space="preserve">vaccination of </w:t>
      </w:r>
      <w:r w:rsidR="008B4D8F">
        <w:rPr>
          <w:lang w:val="en-US"/>
        </w:rPr>
        <w:t>‘</w:t>
      </w:r>
      <w:r w:rsidR="00492EED" w:rsidRPr="006B2089">
        <w:rPr>
          <w:i/>
          <w:iCs/>
          <w:lang w:val="en-US"/>
        </w:rPr>
        <w:t>RNA based vaccine</w:t>
      </w:r>
      <w:r w:rsidR="008B4D8F">
        <w:rPr>
          <w:i/>
          <w:iCs/>
          <w:lang w:val="en-US"/>
        </w:rPr>
        <w:t>s’</w:t>
      </w:r>
      <w:r w:rsidR="00492EED" w:rsidRPr="006B2089">
        <w:rPr>
          <w:lang w:val="en-US"/>
        </w:rPr>
        <w:t xml:space="preserve"> (</w:t>
      </w:r>
      <w:r w:rsidR="006B2089" w:rsidRPr="00C53E3C">
        <w:rPr>
          <w:lang w:val="en-US"/>
        </w:rPr>
        <w:t>BNT162b2</w:t>
      </w:r>
      <w:r w:rsidR="006B2089">
        <w:rPr>
          <w:lang w:val="en-US"/>
        </w:rPr>
        <w:t>-</w:t>
      </w:r>
      <w:r w:rsidR="008B4D8F" w:rsidRPr="00C53E3C">
        <w:rPr>
          <w:i/>
          <w:iCs/>
          <w:lang w:val="en-US"/>
        </w:rPr>
        <w:t>Pfizer/BioNTech</w:t>
      </w:r>
      <w:r w:rsidR="00492EED" w:rsidRPr="006B2089">
        <w:rPr>
          <w:lang w:val="en-US"/>
        </w:rPr>
        <w:t xml:space="preserve">) and </w:t>
      </w:r>
      <w:r w:rsidR="008B4D8F">
        <w:rPr>
          <w:lang w:val="en-US"/>
        </w:rPr>
        <w:t>‘</w:t>
      </w:r>
      <w:r w:rsidR="00492EED" w:rsidRPr="006B2089">
        <w:rPr>
          <w:i/>
          <w:iCs/>
          <w:lang w:val="en-US"/>
        </w:rPr>
        <w:t>non-replicating viral vector</w:t>
      </w:r>
      <w:r w:rsidR="008B4D8F">
        <w:rPr>
          <w:i/>
          <w:iCs/>
          <w:lang w:val="en-US"/>
        </w:rPr>
        <w:t>’</w:t>
      </w:r>
      <w:r w:rsidR="00492EED" w:rsidRPr="006B2089">
        <w:rPr>
          <w:lang w:val="en-US"/>
        </w:rPr>
        <w:t xml:space="preserve"> (</w:t>
      </w:r>
      <w:r w:rsidR="006B2089" w:rsidRPr="006B2089">
        <w:rPr>
          <w:lang w:val="en-US"/>
        </w:rPr>
        <w:t>Ch</w:t>
      </w:r>
      <w:r w:rsidR="006B2089">
        <w:rPr>
          <w:lang w:val="en-US"/>
        </w:rPr>
        <w:t>A</w:t>
      </w:r>
      <w:r w:rsidR="006B2089" w:rsidRPr="006B2089">
        <w:rPr>
          <w:lang w:val="en-US"/>
        </w:rPr>
        <w:t>d</w:t>
      </w:r>
      <w:r w:rsidR="006B2089">
        <w:rPr>
          <w:lang w:val="en-US"/>
        </w:rPr>
        <w:t>O</w:t>
      </w:r>
      <w:r w:rsidR="006B2089" w:rsidRPr="006B2089">
        <w:rPr>
          <w:lang w:val="en-US"/>
        </w:rPr>
        <w:t>x</w:t>
      </w:r>
      <w:r w:rsidR="006B2089">
        <w:rPr>
          <w:lang w:val="en-US"/>
        </w:rPr>
        <w:t>1</w:t>
      </w:r>
      <w:r w:rsidR="006B2089">
        <w:rPr>
          <w:lang w:val="en-US"/>
        </w:rPr>
        <w:t>-</w:t>
      </w:r>
      <w:r w:rsidR="006B2089" w:rsidRPr="006B2089">
        <w:rPr>
          <w:i/>
          <w:iCs/>
          <w:lang w:val="en-US"/>
        </w:rPr>
        <w:t>AstraZen</w:t>
      </w:r>
      <w:r w:rsidR="006B2089">
        <w:rPr>
          <w:i/>
          <w:iCs/>
          <w:lang w:val="en-US"/>
        </w:rPr>
        <w:t>e</w:t>
      </w:r>
      <w:r w:rsidR="006B2089" w:rsidRPr="006B2089">
        <w:rPr>
          <w:i/>
          <w:iCs/>
          <w:lang w:val="en-US"/>
        </w:rPr>
        <w:t>ka</w:t>
      </w:r>
      <w:r w:rsidR="00A41E0C">
        <w:rPr>
          <w:i/>
          <w:iCs/>
          <w:lang w:val="en-US"/>
        </w:rPr>
        <w:t>)</w:t>
      </w:r>
      <w:r w:rsidR="002959AF">
        <w:rPr>
          <w:lang w:val="en-US"/>
        </w:rPr>
        <w:t xml:space="preserve"> in early 2021</w:t>
      </w:r>
      <w:r w:rsidR="00492EED" w:rsidRPr="006B2089">
        <w:rPr>
          <w:lang w:val="en-US"/>
        </w:rPr>
        <w:t xml:space="preserve">. </w:t>
      </w:r>
      <w:r w:rsidR="00141CF5">
        <w:rPr>
          <w:lang w:val="en-US"/>
        </w:rPr>
        <w:t xml:space="preserve">This new approach </w:t>
      </w:r>
      <w:r w:rsidR="00D2474D">
        <w:rPr>
          <w:lang w:val="en-US"/>
        </w:rPr>
        <w:t>was motivated by concerns about waning vaccine immunity</w:t>
      </w:r>
      <w:r w:rsidR="00BB33DE">
        <w:rPr>
          <w:lang w:val="en-US"/>
        </w:rPr>
        <w:t>, b</w:t>
      </w:r>
      <w:r w:rsidR="008D37ED">
        <w:rPr>
          <w:lang w:val="en-US"/>
        </w:rPr>
        <w:t>ut also by practical considerations</w:t>
      </w:r>
      <w:r w:rsidR="0049594D">
        <w:rPr>
          <w:lang w:val="en-US"/>
        </w:rPr>
        <w:t>. F</w:t>
      </w:r>
      <w:r w:rsidR="00BB33DE">
        <w:rPr>
          <w:lang w:val="en-US"/>
        </w:rPr>
        <w:t xml:space="preserve">ollowing concerns about the safety of the </w:t>
      </w:r>
      <w:r w:rsidR="00BB33DE" w:rsidRPr="006B2089">
        <w:rPr>
          <w:lang w:val="en-US"/>
        </w:rPr>
        <w:t>AstraZeneca ChAdOx1</w:t>
      </w:r>
      <w:r w:rsidR="00BB33DE">
        <w:rPr>
          <w:lang w:val="en-US"/>
        </w:rPr>
        <w:t xml:space="preserve"> vaccine, the EMA recommended </w:t>
      </w:r>
      <w:r w:rsidR="002959AF">
        <w:rPr>
          <w:lang w:val="en-US"/>
        </w:rPr>
        <w:t xml:space="preserve">giving </w:t>
      </w:r>
      <w:r w:rsidR="00BB33DE">
        <w:rPr>
          <w:lang w:val="en-US"/>
        </w:rPr>
        <w:t xml:space="preserve">a second dose </w:t>
      </w:r>
      <w:r w:rsidR="00BB33DE" w:rsidRPr="006B2089">
        <w:rPr>
          <w:lang w:val="en-US"/>
        </w:rPr>
        <w:t>Pfizer BNT162b2 vaccine</w:t>
      </w:r>
      <w:r w:rsidR="00BB33DE">
        <w:rPr>
          <w:lang w:val="en-US"/>
        </w:rPr>
        <w:t xml:space="preserve"> to</w:t>
      </w:r>
      <w:r w:rsidR="00BB33DE" w:rsidRPr="006B2089">
        <w:rPr>
          <w:lang w:val="en-US"/>
        </w:rPr>
        <w:t xml:space="preserve"> patients under the age of 55 years who received one dose of ChAdOx1-S-nCoV-19. </w:t>
      </w:r>
      <w:r w:rsidR="0049594D">
        <w:rPr>
          <w:lang w:val="en-US"/>
        </w:rPr>
        <w:t>Further</w:t>
      </w:r>
      <w:r w:rsidR="00D27E04">
        <w:rPr>
          <w:lang w:val="en-US"/>
        </w:rPr>
        <w:t>more</w:t>
      </w:r>
      <w:r w:rsidR="0049594D">
        <w:rPr>
          <w:lang w:val="en-US"/>
        </w:rPr>
        <w:t xml:space="preserve">, decision makers needed flexibility to overcome the issue of vaccine availabilities during the vaccine rollout. </w:t>
      </w:r>
      <w:r w:rsidR="00BB33DE" w:rsidRPr="006B2089">
        <w:rPr>
          <w:lang w:val="en-US"/>
        </w:rPr>
        <w:t xml:space="preserve">This new approach proved to be relevant and other </w:t>
      </w:r>
      <w:r w:rsidR="00BB33DE" w:rsidRPr="00C53E3C">
        <w:rPr>
          <w:lang w:val="en-US"/>
        </w:rPr>
        <w:t xml:space="preserve">associations </w:t>
      </w:r>
      <w:r w:rsidR="00BB33DE">
        <w:rPr>
          <w:lang w:val="en-US"/>
        </w:rPr>
        <w:t xml:space="preserve">were </w:t>
      </w:r>
      <w:r w:rsidR="00BB33DE" w:rsidRPr="00C53E3C">
        <w:rPr>
          <w:lang w:val="en-US"/>
        </w:rPr>
        <w:t>evaluated</w:t>
      </w:r>
      <w:r w:rsidR="00D27E04">
        <w:rPr>
          <w:lang w:val="en-US"/>
        </w:rPr>
        <w:t>:</w:t>
      </w:r>
      <w:r w:rsidR="00760B83">
        <w:rPr>
          <w:lang w:val="en-US"/>
        </w:rPr>
        <w:t xml:space="preserve"> </w:t>
      </w:r>
      <w:r w:rsidR="00BB33DE">
        <w:rPr>
          <w:lang w:val="en-US"/>
        </w:rPr>
        <w:t>‘</w:t>
      </w:r>
      <w:r w:rsidR="00BB33DE" w:rsidRPr="00C53E3C">
        <w:rPr>
          <w:i/>
          <w:iCs/>
          <w:lang w:val="en-US"/>
        </w:rPr>
        <w:t>non replicating viral vector</w:t>
      </w:r>
      <w:r w:rsidR="00BB33DE">
        <w:rPr>
          <w:i/>
          <w:iCs/>
          <w:lang w:val="en-US"/>
        </w:rPr>
        <w:t>’</w:t>
      </w:r>
      <w:r w:rsidR="00BB33DE" w:rsidRPr="00C53E3C">
        <w:rPr>
          <w:lang w:val="en-US"/>
        </w:rPr>
        <w:t xml:space="preserve"> and </w:t>
      </w:r>
      <w:r w:rsidR="00BB33DE">
        <w:rPr>
          <w:lang w:val="en-US"/>
        </w:rPr>
        <w:t>‘</w:t>
      </w:r>
      <w:r w:rsidR="00BB33DE" w:rsidRPr="00C53E3C">
        <w:rPr>
          <w:i/>
          <w:iCs/>
          <w:lang w:val="en-US"/>
        </w:rPr>
        <w:t>inactivated virus</w:t>
      </w:r>
      <w:r w:rsidR="00BB33DE">
        <w:rPr>
          <w:i/>
          <w:iCs/>
          <w:lang w:val="en-US"/>
        </w:rPr>
        <w:t>’</w:t>
      </w:r>
      <w:r w:rsidR="00BB33DE" w:rsidRPr="00C53E3C">
        <w:rPr>
          <w:lang w:val="en-US"/>
        </w:rPr>
        <w:t xml:space="preserve"> in June </w:t>
      </w:r>
      <w:r w:rsidR="00BB33DE">
        <w:rPr>
          <w:lang w:val="en-US"/>
        </w:rPr>
        <w:t xml:space="preserve">2021 </w:t>
      </w:r>
      <w:r w:rsidR="00BB33DE" w:rsidRPr="00C53E3C">
        <w:rPr>
          <w:lang w:val="en-US"/>
        </w:rPr>
        <w:t xml:space="preserve">and later </w:t>
      </w:r>
      <w:r w:rsidR="00BB33DE">
        <w:rPr>
          <w:lang w:val="en-US"/>
        </w:rPr>
        <w:t>‘</w:t>
      </w:r>
      <w:r w:rsidR="00BB33DE" w:rsidRPr="00C53E3C">
        <w:rPr>
          <w:i/>
          <w:iCs/>
          <w:lang w:val="en-US"/>
        </w:rPr>
        <w:t>RNA based vaccine</w:t>
      </w:r>
      <w:r w:rsidR="00BB33DE">
        <w:rPr>
          <w:i/>
          <w:iCs/>
          <w:lang w:val="en-US"/>
        </w:rPr>
        <w:t>’</w:t>
      </w:r>
      <w:r w:rsidR="00BB33DE" w:rsidRPr="00C53E3C">
        <w:rPr>
          <w:lang w:val="en-US"/>
        </w:rPr>
        <w:t xml:space="preserve"> and </w:t>
      </w:r>
      <w:r w:rsidR="00BB33DE">
        <w:rPr>
          <w:lang w:val="en-US"/>
        </w:rPr>
        <w:t>‘</w:t>
      </w:r>
      <w:r w:rsidR="00BB33DE" w:rsidRPr="00C53E3C">
        <w:rPr>
          <w:i/>
          <w:iCs/>
          <w:lang w:val="en-US"/>
        </w:rPr>
        <w:t>inactivated virus</w:t>
      </w:r>
      <w:r w:rsidR="00BB33DE">
        <w:rPr>
          <w:i/>
          <w:iCs/>
          <w:lang w:val="en-US"/>
        </w:rPr>
        <w:t xml:space="preserve">’ </w:t>
      </w:r>
      <w:r w:rsidR="00BB33DE" w:rsidRPr="00C53E3C">
        <w:rPr>
          <w:lang w:val="en-US"/>
        </w:rPr>
        <w:t>in September</w:t>
      </w:r>
      <w:r w:rsidR="00BB33DE">
        <w:rPr>
          <w:lang w:val="en-US"/>
        </w:rPr>
        <w:t xml:space="preserve"> 2021</w:t>
      </w:r>
      <w:r w:rsidR="00BB33DE" w:rsidRPr="00C53E3C">
        <w:rPr>
          <w:lang w:val="en-US"/>
        </w:rPr>
        <w:t>.</w:t>
      </w:r>
    </w:p>
    <w:p w14:paraId="0D41CA6F" w14:textId="628FE1BA" w:rsidR="00BB33DE" w:rsidRPr="006B2089" w:rsidRDefault="00BB33DE" w:rsidP="00BB33DE">
      <w:pPr>
        <w:rPr>
          <w:lang w:val="en-US"/>
        </w:rPr>
      </w:pPr>
    </w:p>
    <w:p w14:paraId="180AD74D" w14:textId="26EBE355" w:rsidR="00492EED" w:rsidRDefault="008D37ED" w:rsidP="00443CC8">
      <w:pPr>
        <w:spacing w:before="100" w:beforeAutospacing="1" w:after="100" w:afterAutospacing="1"/>
        <w:jc w:val="both"/>
        <w:rPr>
          <w:i/>
          <w:iCs/>
          <w:lang w:val="en-US"/>
        </w:rPr>
      </w:pPr>
      <w:proofErr w:type="spellStart"/>
      <w:r>
        <w:rPr>
          <w:lang w:val="en-US"/>
        </w:rPr>
        <w:lastRenderedPageBreak/>
        <w:t>P</w:t>
      </w:r>
      <w:r w:rsidRPr="00C53E3C">
        <w:rPr>
          <w:lang w:val="en-US"/>
        </w:rPr>
        <w:t>hylomem</w:t>
      </w:r>
      <w:r w:rsidR="00760B83">
        <w:rPr>
          <w:lang w:val="en-US"/>
        </w:rPr>
        <w:t>ies</w:t>
      </w:r>
      <w:proofErr w:type="spellEnd"/>
      <w:r w:rsidRPr="008D37ED">
        <w:rPr>
          <w:lang w:val="en-US"/>
        </w:rPr>
        <w:t xml:space="preserve"> </w:t>
      </w:r>
      <w:r>
        <w:rPr>
          <w:lang w:val="en-US"/>
        </w:rPr>
        <w:t xml:space="preserve">are essential </w:t>
      </w:r>
      <w:r w:rsidR="00D27E04">
        <w:rPr>
          <w:lang w:val="en-US"/>
        </w:rPr>
        <w:t>in</w:t>
      </w:r>
      <w:r>
        <w:rPr>
          <w:lang w:val="en-US"/>
        </w:rPr>
        <w:t xml:space="preserve"> identify</w:t>
      </w:r>
      <w:r w:rsidR="00D27E04">
        <w:rPr>
          <w:lang w:val="en-US"/>
        </w:rPr>
        <w:t>ing</w:t>
      </w:r>
      <w:r>
        <w:rPr>
          <w:lang w:val="en-US"/>
        </w:rPr>
        <w:t xml:space="preserve"> </w:t>
      </w:r>
      <w:r w:rsidR="0081004C">
        <w:rPr>
          <w:lang w:val="en-US"/>
        </w:rPr>
        <w:t>shift</w:t>
      </w:r>
      <w:r w:rsidR="00D27E04">
        <w:rPr>
          <w:lang w:val="en-US"/>
        </w:rPr>
        <w:t>s</w:t>
      </w:r>
      <w:r w:rsidR="0081004C">
        <w:rPr>
          <w:lang w:val="en-US"/>
        </w:rPr>
        <w:t xml:space="preserve"> in research questions. While evidence of the beneficial effect of vaccines is</w:t>
      </w:r>
      <w:r w:rsidR="00395BDB">
        <w:rPr>
          <w:lang w:val="en-US"/>
        </w:rPr>
        <w:t xml:space="preserve"> mounting</w:t>
      </w:r>
      <w:r w:rsidR="0081004C">
        <w:rPr>
          <w:lang w:val="en-US"/>
        </w:rPr>
        <w:t xml:space="preserve">, </w:t>
      </w:r>
      <w:r w:rsidR="00395BDB">
        <w:rPr>
          <w:lang w:val="en-US"/>
        </w:rPr>
        <w:t xml:space="preserve">research </w:t>
      </w:r>
      <w:r w:rsidR="0081004C">
        <w:rPr>
          <w:lang w:val="en-US"/>
        </w:rPr>
        <w:t xml:space="preserve">questions are moving toward </w:t>
      </w:r>
      <w:r w:rsidR="00402BC9">
        <w:rPr>
          <w:lang w:val="en-US"/>
        </w:rPr>
        <w:t xml:space="preserve">exploring the effect of booster to overcome </w:t>
      </w:r>
      <w:r w:rsidR="0081004C" w:rsidRPr="00C53E3C">
        <w:rPr>
          <w:lang w:val="en-US"/>
        </w:rPr>
        <w:t>the waning of vaccine efficacy over time</w:t>
      </w:r>
      <w:r w:rsidR="0081004C">
        <w:rPr>
          <w:lang w:val="en-US"/>
        </w:rPr>
        <w:t xml:space="preserve">. </w:t>
      </w:r>
      <w:r w:rsidR="006B2089">
        <w:rPr>
          <w:lang w:val="en-US"/>
        </w:rPr>
        <w:t>Early 2021</w:t>
      </w:r>
      <w:r w:rsidR="00154B40" w:rsidRPr="00C53E3C">
        <w:rPr>
          <w:lang w:val="en-US"/>
        </w:rPr>
        <w:t xml:space="preserve">, new trials assessing the impact of administrating a third dose (see </w:t>
      </w:r>
      <w:r w:rsidR="00154B40" w:rsidRPr="00C53E3C">
        <w:rPr>
          <w:color w:val="0000FF"/>
          <w:lang w:val="en-US"/>
        </w:rPr>
        <w:t>Figure 2</w:t>
      </w:r>
      <w:r w:rsidR="00154B40" w:rsidRPr="00C53E3C">
        <w:rPr>
          <w:lang w:val="en-US"/>
        </w:rPr>
        <w:t xml:space="preserve">, red outline) have been registered particularly for </w:t>
      </w:r>
      <w:r w:rsidR="00154B40" w:rsidRPr="00C53E3C">
        <w:rPr>
          <w:rFonts w:hint="eastAsia"/>
          <w:lang w:val="en-US"/>
        </w:rPr>
        <w:t>‘</w:t>
      </w:r>
      <w:r w:rsidR="00154B40" w:rsidRPr="00C53E3C">
        <w:rPr>
          <w:i/>
          <w:iCs/>
          <w:lang w:val="en-US"/>
        </w:rPr>
        <w:t>RNA based vaccine</w:t>
      </w:r>
      <w:r w:rsidR="00104894">
        <w:rPr>
          <w:i/>
          <w:iCs/>
          <w:lang w:val="en-US"/>
        </w:rPr>
        <w:t>s</w:t>
      </w:r>
      <w:r w:rsidR="00154B40" w:rsidRPr="00C53E3C">
        <w:rPr>
          <w:rFonts w:hint="eastAsia"/>
          <w:lang w:val="en-US"/>
        </w:rPr>
        <w:t>’</w:t>
      </w:r>
      <w:r w:rsidR="00154B40" w:rsidRPr="00C53E3C">
        <w:rPr>
          <w:lang w:val="en-US"/>
        </w:rPr>
        <w:t xml:space="preserve"> and </w:t>
      </w:r>
      <w:r w:rsidR="00154B40" w:rsidRPr="00C53E3C">
        <w:rPr>
          <w:rFonts w:hint="eastAsia"/>
          <w:lang w:val="en-US"/>
        </w:rPr>
        <w:t>‘</w:t>
      </w:r>
      <w:proofErr w:type="gramStart"/>
      <w:r w:rsidR="00154B40" w:rsidRPr="00C53E3C">
        <w:rPr>
          <w:i/>
          <w:iCs/>
          <w:lang w:val="en-US"/>
        </w:rPr>
        <w:t>Non-replicating</w:t>
      </w:r>
      <w:proofErr w:type="gramEnd"/>
      <w:r w:rsidR="00154B40" w:rsidRPr="00C53E3C">
        <w:rPr>
          <w:i/>
          <w:iCs/>
          <w:lang w:val="en-US"/>
        </w:rPr>
        <w:t xml:space="preserve"> viral vector</w:t>
      </w:r>
      <w:r w:rsidR="00154B40" w:rsidRPr="00C53E3C">
        <w:rPr>
          <w:rFonts w:hint="eastAsia"/>
          <w:lang w:val="en-US"/>
        </w:rPr>
        <w:t>’</w:t>
      </w:r>
      <w:r w:rsidR="00154B40" w:rsidRPr="00C53E3C">
        <w:rPr>
          <w:lang w:val="en-US"/>
        </w:rPr>
        <w:t xml:space="preserve"> (</w:t>
      </w:r>
      <w:r w:rsidR="00154B40" w:rsidRPr="00C53E3C">
        <w:rPr>
          <w:color w:val="0000FF"/>
          <w:lang w:val="en-US"/>
        </w:rPr>
        <w:t>7</w:t>
      </w:r>
      <w:r w:rsidR="00154B40" w:rsidRPr="00C53E3C">
        <w:rPr>
          <w:lang w:val="en-US"/>
        </w:rPr>
        <w:t>).</w:t>
      </w:r>
      <w:r w:rsidR="006B2089">
        <w:rPr>
          <w:lang w:val="en-US"/>
        </w:rPr>
        <w:t xml:space="preserve"> A</w:t>
      </w:r>
      <w:r w:rsidR="006B2089">
        <w:rPr>
          <w:lang w:val="en-US"/>
        </w:rPr>
        <w:t xml:space="preserve">n important part of the research on the effect of a </w:t>
      </w:r>
      <w:r w:rsidR="00A41E0C">
        <w:rPr>
          <w:lang w:val="en-US"/>
        </w:rPr>
        <w:t>booste</w:t>
      </w:r>
      <w:r w:rsidR="00A41E0C">
        <w:rPr>
          <w:lang w:val="en-US"/>
        </w:rPr>
        <w:t xml:space="preserve">rs </w:t>
      </w:r>
      <w:r w:rsidR="006B2089">
        <w:rPr>
          <w:lang w:val="en-US"/>
        </w:rPr>
        <w:t xml:space="preserve">is </w:t>
      </w:r>
      <w:r w:rsidR="00A41E0C">
        <w:rPr>
          <w:lang w:val="en-US"/>
        </w:rPr>
        <w:t>considering</w:t>
      </w:r>
      <w:r w:rsidR="00A41E0C">
        <w:rPr>
          <w:lang w:val="en-US"/>
        </w:rPr>
        <w:t xml:space="preserve"> </w:t>
      </w:r>
      <w:r w:rsidR="006B2089">
        <w:rPr>
          <w:lang w:val="en-US"/>
        </w:rPr>
        <w:t>heterologous boosters</w:t>
      </w:r>
      <w:r w:rsidR="006B2089">
        <w:rPr>
          <w:lang w:val="en-US"/>
        </w:rPr>
        <w:t>.</w:t>
      </w:r>
    </w:p>
    <w:p w14:paraId="15262C2A" w14:textId="5B6A13E0" w:rsidR="00BA5389" w:rsidRPr="00C53E3C" w:rsidRDefault="00BA5389" w:rsidP="006B2089">
      <w:pPr>
        <w:pStyle w:val="NormalWeb"/>
        <w:rPr>
          <w:lang w:val="en-US"/>
        </w:rPr>
      </w:pPr>
      <w:proofErr w:type="spellStart"/>
      <w:r>
        <w:rPr>
          <w:lang w:val="en-US"/>
        </w:rPr>
        <w:t>P</w:t>
      </w:r>
      <w:r w:rsidRPr="00C53E3C">
        <w:rPr>
          <w:lang w:val="en-US"/>
        </w:rPr>
        <w:t>hylomemy</w:t>
      </w:r>
      <w:proofErr w:type="spellEnd"/>
      <w:r>
        <w:rPr>
          <w:lang w:val="en-US"/>
        </w:rPr>
        <w:t xml:space="preserve"> also provide</w:t>
      </w:r>
      <w:r w:rsidR="00760B83">
        <w:rPr>
          <w:lang w:val="en-US"/>
        </w:rPr>
        <w:t>s</w:t>
      </w:r>
      <w:r>
        <w:rPr>
          <w:lang w:val="en-US"/>
        </w:rPr>
        <w:t xml:space="preserve"> important information </w:t>
      </w:r>
      <w:r w:rsidR="00554123">
        <w:rPr>
          <w:lang w:val="en-US"/>
        </w:rPr>
        <w:t>on</w:t>
      </w:r>
      <w:r>
        <w:rPr>
          <w:lang w:val="en-US"/>
        </w:rPr>
        <w:t xml:space="preserve"> </w:t>
      </w:r>
      <w:r w:rsidR="004F665D">
        <w:rPr>
          <w:lang w:val="en-US"/>
        </w:rPr>
        <w:t>research planning</w:t>
      </w:r>
      <w:r w:rsidR="00154B40">
        <w:rPr>
          <w:lang w:val="en-US"/>
        </w:rPr>
        <w:t xml:space="preserve"> and reporting</w:t>
      </w:r>
      <w:r w:rsidR="004F665D">
        <w:rPr>
          <w:lang w:val="en-US"/>
        </w:rPr>
        <w:t xml:space="preserve">. As shown in Figure </w:t>
      </w:r>
      <w:r w:rsidR="004F665D" w:rsidRPr="006B2089">
        <w:rPr>
          <w:highlight w:val="yellow"/>
          <w:lang w:val="en-US"/>
        </w:rPr>
        <w:t>X</w:t>
      </w:r>
      <w:r w:rsidR="004F665D">
        <w:rPr>
          <w:lang w:val="en-US"/>
        </w:rPr>
        <w:t xml:space="preserve">, most trials registered are randomized controlled trials. </w:t>
      </w:r>
      <w:r w:rsidR="00554123">
        <w:rPr>
          <w:lang w:val="en-US"/>
        </w:rPr>
        <w:t>Early in the pandemic, n</w:t>
      </w:r>
      <w:r w:rsidR="004F665D">
        <w:rPr>
          <w:lang w:val="en-US"/>
        </w:rPr>
        <w:t xml:space="preserve">on-randomized trials were </w:t>
      </w:r>
      <w:r w:rsidR="00C418AF">
        <w:rPr>
          <w:lang w:val="en-US"/>
        </w:rPr>
        <w:t xml:space="preserve">primarily </w:t>
      </w:r>
      <w:r w:rsidR="004F665D">
        <w:rPr>
          <w:lang w:val="en-US"/>
        </w:rPr>
        <w:t xml:space="preserve">early phase trials while </w:t>
      </w:r>
      <w:r w:rsidR="00C418AF">
        <w:rPr>
          <w:lang w:val="en-US"/>
        </w:rPr>
        <w:t>those</w:t>
      </w:r>
      <w:r w:rsidR="004F665D">
        <w:rPr>
          <w:lang w:val="en-US"/>
        </w:rPr>
        <w:t xml:space="preserve"> registered in 2021 </w:t>
      </w:r>
      <w:r w:rsidR="00A41E0C">
        <w:rPr>
          <w:lang w:val="en-US"/>
        </w:rPr>
        <w:t>include both early phase trials exploring new vaccine</w:t>
      </w:r>
      <w:r w:rsidR="00B736F6">
        <w:rPr>
          <w:lang w:val="en-US"/>
        </w:rPr>
        <w:t>s</w:t>
      </w:r>
      <w:r w:rsidR="00A41E0C">
        <w:rPr>
          <w:lang w:val="en-US"/>
        </w:rPr>
        <w:t xml:space="preserve"> and</w:t>
      </w:r>
      <w:r w:rsidR="004F665D">
        <w:rPr>
          <w:lang w:val="en-US"/>
        </w:rPr>
        <w:t xml:space="preserve"> phase 4 trials assessing vaccine</w:t>
      </w:r>
      <w:r w:rsidR="0049594D">
        <w:rPr>
          <w:lang w:val="en-US"/>
        </w:rPr>
        <w:t>s safety</w:t>
      </w:r>
      <w:r w:rsidR="004F665D">
        <w:rPr>
          <w:lang w:val="en-US"/>
        </w:rPr>
        <w:t xml:space="preserve">. </w:t>
      </w:r>
      <w:r w:rsidR="00154B40">
        <w:rPr>
          <w:lang w:val="en-US"/>
        </w:rPr>
        <w:t xml:space="preserve">We can also explore the data to </w:t>
      </w:r>
      <w:r w:rsidR="000A3099">
        <w:rPr>
          <w:lang w:val="en-US"/>
        </w:rPr>
        <w:t xml:space="preserve">better </w:t>
      </w:r>
      <w:r w:rsidR="00154B40">
        <w:rPr>
          <w:lang w:val="en-US"/>
        </w:rPr>
        <w:t>understand how</w:t>
      </w:r>
      <w:r>
        <w:rPr>
          <w:lang w:val="en-US"/>
        </w:rPr>
        <w:t xml:space="preserve"> different countries participated in the overall research effort over time. For example,</w:t>
      </w:r>
      <w:r w:rsidRPr="00C53E3C">
        <w:rPr>
          <w:lang w:val="en-US"/>
        </w:rPr>
        <w:t xml:space="preserve"> when filter</w:t>
      </w:r>
      <w:r>
        <w:rPr>
          <w:lang w:val="en-US"/>
        </w:rPr>
        <w:t>ing on the country</w:t>
      </w:r>
      <w:r w:rsidR="00216207">
        <w:rPr>
          <w:lang w:val="en-US"/>
        </w:rPr>
        <w:t xml:space="preserve"> (see </w:t>
      </w:r>
      <w:proofErr w:type="gramStart"/>
      <w:r w:rsidR="00216207" w:rsidRPr="006B2089">
        <w:rPr>
          <w:rFonts w:ascii="NimbusSanL" w:hAnsi="NimbusSanL"/>
          <w:color w:val="0000FF"/>
          <w:lang w:val="en-US"/>
        </w:rPr>
        <w:t>maps.gargantext.org</w:t>
      </w:r>
      <w:r w:rsidR="00216207" w:rsidRPr="006B2089">
        <w:rPr>
          <w:rFonts w:ascii="NimbusSanL" w:hAnsi="NimbusSanL"/>
          <w:color w:val="0000FF"/>
          <w:sz w:val="14"/>
          <w:szCs w:val="14"/>
          <w:lang w:val="en-US"/>
        </w:rPr>
        <w:t xml:space="preserve"> </w:t>
      </w:r>
      <w:r w:rsidR="0044565D">
        <w:rPr>
          <w:rFonts w:ascii="NimbusSanL" w:hAnsi="NimbusSanL"/>
          <w:color w:val="0000FF"/>
          <w:sz w:val="14"/>
          <w:szCs w:val="14"/>
          <w:lang w:val="en-US"/>
        </w:rPr>
        <w:t>)</w:t>
      </w:r>
      <w:proofErr w:type="gramEnd"/>
      <w:r w:rsidRPr="00C53E3C">
        <w:rPr>
          <w:lang w:val="en-US"/>
        </w:rPr>
        <w:t xml:space="preserve">, we  see that trials conducted in the USA explored all vaccine platforms and that </w:t>
      </w:r>
      <w:r>
        <w:rPr>
          <w:lang w:val="en-US"/>
        </w:rPr>
        <w:t xml:space="preserve">the </w:t>
      </w:r>
      <w:r w:rsidRPr="00C53E3C">
        <w:rPr>
          <w:lang w:val="en-US"/>
        </w:rPr>
        <w:t xml:space="preserve">first trials registered </w:t>
      </w:r>
      <w:r w:rsidR="0044565D">
        <w:rPr>
          <w:lang w:val="en-US"/>
        </w:rPr>
        <w:t xml:space="preserve">frequently </w:t>
      </w:r>
      <w:r w:rsidRPr="00C53E3C">
        <w:rPr>
          <w:lang w:val="en-US"/>
        </w:rPr>
        <w:t>involved a center in the USA</w:t>
      </w:r>
      <w:r w:rsidR="000A3099">
        <w:rPr>
          <w:lang w:val="en-US"/>
        </w:rPr>
        <w:t>,</w:t>
      </w:r>
      <w:r w:rsidRPr="00C53E3C">
        <w:rPr>
          <w:lang w:val="en-US"/>
        </w:rPr>
        <w:t xml:space="preserve"> confirming their leading role</w:t>
      </w:r>
      <w:r>
        <w:rPr>
          <w:lang w:val="en-US"/>
        </w:rPr>
        <w:t xml:space="preserve"> in clinical research</w:t>
      </w:r>
      <w:r w:rsidR="00216207">
        <w:rPr>
          <w:lang w:val="en-US"/>
        </w:rPr>
        <w:t xml:space="preserve"> (e.g., </w:t>
      </w:r>
      <w:r w:rsidR="00216207" w:rsidRPr="00C53E3C">
        <w:rPr>
          <w:rFonts w:hint="eastAsia"/>
          <w:lang w:val="en-US"/>
        </w:rPr>
        <w:t>‘</w:t>
      </w:r>
      <w:r w:rsidR="00216207" w:rsidRPr="00C53E3C">
        <w:rPr>
          <w:i/>
          <w:iCs/>
          <w:lang w:val="en-US"/>
        </w:rPr>
        <w:t>DNA based vaccine</w:t>
      </w:r>
      <w:r w:rsidR="00216207" w:rsidRPr="00C53E3C">
        <w:rPr>
          <w:rFonts w:hint="eastAsia"/>
          <w:i/>
          <w:iCs/>
          <w:lang w:val="en-US"/>
        </w:rPr>
        <w:t>’</w:t>
      </w:r>
      <w:r w:rsidR="00216207" w:rsidRPr="00C53E3C">
        <w:rPr>
          <w:lang w:val="en-US"/>
        </w:rPr>
        <w:t xml:space="preserve">, </w:t>
      </w:r>
      <w:r w:rsidR="00216207" w:rsidRPr="00C53E3C">
        <w:rPr>
          <w:rFonts w:hint="eastAsia"/>
          <w:lang w:val="en-US"/>
        </w:rPr>
        <w:t>‘</w:t>
      </w:r>
      <w:r w:rsidR="00216207" w:rsidRPr="00C53E3C">
        <w:rPr>
          <w:i/>
          <w:iCs/>
          <w:lang w:val="en-US"/>
        </w:rPr>
        <w:t>RNA based vaccine</w:t>
      </w:r>
      <w:r w:rsidR="00216207" w:rsidRPr="00C53E3C">
        <w:rPr>
          <w:rFonts w:hint="eastAsia"/>
          <w:i/>
          <w:iCs/>
          <w:lang w:val="en-US"/>
        </w:rPr>
        <w:t>’</w:t>
      </w:r>
      <w:r w:rsidR="00216207" w:rsidRPr="00C53E3C">
        <w:rPr>
          <w:lang w:val="en-US"/>
        </w:rPr>
        <w:t xml:space="preserve">, </w:t>
      </w:r>
      <w:r w:rsidR="00216207" w:rsidRPr="00C53E3C">
        <w:rPr>
          <w:rFonts w:hint="eastAsia"/>
          <w:lang w:val="en-US"/>
        </w:rPr>
        <w:t>‘</w:t>
      </w:r>
      <w:r w:rsidR="00216207" w:rsidRPr="00C53E3C">
        <w:rPr>
          <w:i/>
          <w:iCs/>
          <w:lang w:val="en-US"/>
        </w:rPr>
        <w:t>protein subunit</w:t>
      </w:r>
      <w:r w:rsidR="00216207" w:rsidRPr="00C53E3C">
        <w:rPr>
          <w:rFonts w:hint="eastAsia"/>
          <w:i/>
          <w:iCs/>
          <w:lang w:val="en-US"/>
        </w:rPr>
        <w:t>’</w:t>
      </w:r>
      <w:r w:rsidR="00216207">
        <w:rPr>
          <w:i/>
          <w:iCs/>
          <w:lang w:val="en-US"/>
        </w:rPr>
        <w:t>)</w:t>
      </w:r>
      <w:r w:rsidRPr="00C53E3C">
        <w:rPr>
          <w:lang w:val="en-US"/>
        </w:rPr>
        <w:t>.</w:t>
      </w:r>
      <w:r w:rsidR="00154B40">
        <w:rPr>
          <w:lang w:val="en-US"/>
        </w:rPr>
        <w:t xml:space="preserve"> </w:t>
      </w:r>
      <w:r w:rsidR="006B2089">
        <w:rPr>
          <w:lang w:val="en-US"/>
        </w:rPr>
        <w:t xml:space="preserve">Other important trials characteristics </w:t>
      </w:r>
      <w:r w:rsidR="00B736F6">
        <w:rPr>
          <w:lang w:val="en-US"/>
        </w:rPr>
        <w:t xml:space="preserve">(e.g., funding source) </w:t>
      </w:r>
      <w:r w:rsidR="006B2089">
        <w:rPr>
          <w:lang w:val="en-US"/>
        </w:rPr>
        <w:t>can also be explored.</w:t>
      </w:r>
    </w:p>
    <w:p w14:paraId="6B66B9AC" w14:textId="4CF4FCB2" w:rsidR="002B42F5" w:rsidRPr="006B2089" w:rsidRDefault="002B42F5" w:rsidP="006B2089">
      <w:pPr>
        <w:spacing w:before="100" w:beforeAutospacing="1" w:after="100" w:afterAutospacing="1"/>
        <w:jc w:val="both"/>
        <w:rPr>
          <w:lang w:val="en-US"/>
        </w:rPr>
      </w:pPr>
      <w:r w:rsidRPr="006B2089">
        <w:rPr>
          <w:lang w:val="en-US"/>
        </w:rPr>
        <w:t xml:space="preserve">Finally, </w:t>
      </w:r>
      <w:r w:rsidR="00BA5389">
        <w:rPr>
          <w:lang w:val="en-US"/>
        </w:rPr>
        <w:t xml:space="preserve">we explored </w:t>
      </w:r>
      <w:r w:rsidR="00212CAE">
        <w:rPr>
          <w:lang w:val="en-US"/>
        </w:rPr>
        <w:t>publi</w:t>
      </w:r>
      <w:r w:rsidR="00402BC9">
        <w:rPr>
          <w:lang w:val="en-US"/>
        </w:rPr>
        <w:t>cation of</w:t>
      </w:r>
      <w:r w:rsidR="00212CAE">
        <w:rPr>
          <w:lang w:val="en-US"/>
        </w:rPr>
        <w:t xml:space="preserve"> </w:t>
      </w:r>
      <w:r w:rsidR="00BA5389">
        <w:rPr>
          <w:lang w:val="en-US"/>
        </w:rPr>
        <w:t>trial results</w:t>
      </w:r>
      <w:r w:rsidR="00A41E0C">
        <w:rPr>
          <w:lang w:val="en-US"/>
        </w:rPr>
        <w:t xml:space="preserve"> </w:t>
      </w:r>
      <w:r w:rsidR="00BA5389">
        <w:rPr>
          <w:lang w:val="en-US"/>
        </w:rPr>
        <w:t>(</w:t>
      </w:r>
      <w:r w:rsidR="00402BC9">
        <w:rPr>
          <w:lang w:val="en-US"/>
        </w:rPr>
        <w:t xml:space="preserve">i.e., </w:t>
      </w:r>
      <w:r w:rsidR="00BA5389">
        <w:rPr>
          <w:lang w:val="en-US"/>
        </w:rPr>
        <w:t>preprint or peer-reviewed article</w:t>
      </w:r>
      <w:r w:rsidR="00210A22">
        <w:rPr>
          <w:lang w:val="en-US"/>
        </w:rPr>
        <w:t>s</w:t>
      </w:r>
      <w:r w:rsidR="00BA5389">
        <w:rPr>
          <w:lang w:val="en-US"/>
        </w:rPr>
        <w:t xml:space="preserve">). </w:t>
      </w:r>
      <w:r w:rsidR="000F323F">
        <w:rPr>
          <w:lang w:val="en-US"/>
        </w:rPr>
        <w:t xml:space="preserve">As shown in </w:t>
      </w:r>
      <w:r w:rsidRPr="006B2089">
        <w:rPr>
          <w:lang w:val="en-US"/>
        </w:rPr>
        <w:t xml:space="preserve">Figure </w:t>
      </w:r>
      <w:r w:rsidR="00BA5389" w:rsidRPr="006B2089">
        <w:rPr>
          <w:highlight w:val="yellow"/>
          <w:lang w:val="en-US"/>
        </w:rPr>
        <w:t>X</w:t>
      </w:r>
      <w:r w:rsidR="000F323F">
        <w:rPr>
          <w:lang w:val="en-US"/>
        </w:rPr>
        <w:t xml:space="preserve">, we currently have access to the results of a very limited number of </w:t>
      </w:r>
      <w:r w:rsidR="00210A22">
        <w:rPr>
          <w:lang w:val="en-US"/>
        </w:rPr>
        <w:t xml:space="preserve">planned </w:t>
      </w:r>
      <w:r w:rsidR="000F323F">
        <w:rPr>
          <w:lang w:val="en-US"/>
        </w:rPr>
        <w:t xml:space="preserve">trials. </w:t>
      </w:r>
      <w:r w:rsidR="0044565D">
        <w:rPr>
          <w:lang w:val="en-US"/>
        </w:rPr>
        <w:t>W</w:t>
      </w:r>
      <w:r w:rsidR="000F323F">
        <w:rPr>
          <w:lang w:val="en-US"/>
        </w:rPr>
        <w:t xml:space="preserve">hile most of the COVID vaccine trials registered </w:t>
      </w:r>
      <w:r w:rsidR="00210A22">
        <w:rPr>
          <w:lang w:val="en-US"/>
        </w:rPr>
        <w:t xml:space="preserve">in </w:t>
      </w:r>
      <w:r w:rsidR="000F323F">
        <w:rPr>
          <w:lang w:val="en-US"/>
        </w:rPr>
        <w:t xml:space="preserve">early 2020 are published, most of the non-COVID vaccine trials are still unpublished. </w:t>
      </w:r>
      <w:r w:rsidR="00B808F9">
        <w:rPr>
          <w:lang w:val="en-US"/>
        </w:rPr>
        <w:t>U</w:t>
      </w:r>
      <w:r w:rsidR="00216207">
        <w:rPr>
          <w:lang w:val="en-US"/>
        </w:rPr>
        <w:t>nderstand</w:t>
      </w:r>
      <w:r w:rsidR="00B808F9">
        <w:rPr>
          <w:lang w:val="en-US"/>
        </w:rPr>
        <w:t>ing</w:t>
      </w:r>
      <w:r w:rsidR="000F323F">
        <w:rPr>
          <w:lang w:val="en-US"/>
        </w:rPr>
        <w:t xml:space="preserve"> whether these </w:t>
      </w:r>
      <w:r w:rsidR="0049594D">
        <w:rPr>
          <w:lang w:val="en-US"/>
        </w:rPr>
        <w:t>trials</w:t>
      </w:r>
      <w:r w:rsidR="000F323F">
        <w:rPr>
          <w:lang w:val="en-US"/>
        </w:rPr>
        <w:t xml:space="preserve"> were actually conducted with unpublished results or </w:t>
      </w:r>
      <w:r w:rsidR="00212CAE">
        <w:rPr>
          <w:lang w:val="en-US"/>
        </w:rPr>
        <w:t>whether</w:t>
      </w:r>
      <w:r w:rsidR="000F323F">
        <w:rPr>
          <w:lang w:val="en-US"/>
        </w:rPr>
        <w:t xml:space="preserve"> these </w:t>
      </w:r>
      <w:r w:rsidR="0049594D">
        <w:rPr>
          <w:lang w:val="en-US"/>
        </w:rPr>
        <w:t>trials</w:t>
      </w:r>
      <w:r w:rsidR="000F323F">
        <w:rPr>
          <w:lang w:val="en-US"/>
        </w:rPr>
        <w:t xml:space="preserve"> were unable to recruit</w:t>
      </w:r>
      <w:r w:rsidR="00B808F9">
        <w:rPr>
          <w:lang w:val="en-US"/>
        </w:rPr>
        <w:t xml:space="preserve"> is important</w:t>
      </w:r>
      <w:r w:rsidR="000F323F">
        <w:rPr>
          <w:lang w:val="en-US"/>
        </w:rPr>
        <w:t>.</w:t>
      </w:r>
    </w:p>
    <w:p w14:paraId="3C1F6459" w14:textId="4C4B1B98" w:rsidR="00154B40" w:rsidRPr="006B2089" w:rsidRDefault="00154B40">
      <w:pPr>
        <w:pStyle w:val="NormalWeb"/>
        <w:jc w:val="both"/>
        <w:rPr>
          <w:b/>
          <w:bCs/>
          <w:lang w:val="en-US"/>
        </w:rPr>
      </w:pPr>
      <w:r w:rsidRPr="006B2089">
        <w:rPr>
          <w:b/>
          <w:bCs/>
          <w:lang w:val="en-US"/>
        </w:rPr>
        <w:t>Overall</w:t>
      </w:r>
    </w:p>
    <w:p w14:paraId="6DFB18C4" w14:textId="1A827559" w:rsidR="003127B9" w:rsidRDefault="003E0A64" w:rsidP="0044565D">
      <w:pPr>
        <w:pStyle w:val="NormalWeb"/>
        <w:jc w:val="both"/>
        <w:rPr>
          <w:lang w:val="en-US"/>
        </w:rPr>
      </w:pPr>
      <w:r>
        <w:rPr>
          <w:lang w:val="en-US"/>
        </w:rPr>
        <w:t xml:space="preserve">The COVID-19 pandemic highlighted the lack of coordination in clinical research and resulted in an important waste in research. To avoid this waste and improve research value, we need to provide tools such as </w:t>
      </w:r>
      <w:proofErr w:type="spellStart"/>
      <w:r>
        <w:rPr>
          <w:lang w:val="en-US"/>
        </w:rPr>
        <w:t>p</w:t>
      </w:r>
      <w:r w:rsidRPr="00C53E3C">
        <w:rPr>
          <w:lang w:val="en-US"/>
        </w:rPr>
        <w:t>hylomemy</w:t>
      </w:r>
      <w:proofErr w:type="spellEnd"/>
      <w:r w:rsidRPr="00C53E3C">
        <w:rPr>
          <w:lang w:val="en-US"/>
        </w:rPr>
        <w:t xml:space="preserve"> reconstruction</w:t>
      </w:r>
      <w:r>
        <w:rPr>
          <w:lang w:val="en-US"/>
        </w:rPr>
        <w:t xml:space="preserve"> which could be essential to guide </w:t>
      </w:r>
      <w:r w:rsidR="0044565D" w:rsidRPr="00C53E3C">
        <w:rPr>
          <w:lang w:val="en-US"/>
        </w:rPr>
        <w:t>trialists, funders and decisionmakers</w:t>
      </w:r>
      <w:r w:rsidR="00B736F6">
        <w:rPr>
          <w:lang w:val="en-US"/>
        </w:rPr>
        <w:t>.</w:t>
      </w:r>
      <w:r>
        <w:rPr>
          <w:lang w:val="en-US"/>
        </w:rPr>
        <w:t xml:space="preserve"> </w:t>
      </w:r>
      <w:r w:rsidR="00F16122" w:rsidRPr="006B2089">
        <w:rPr>
          <w:lang w:val="en-US"/>
        </w:rPr>
        <w:t xml:space="preserve">It </w:t>
      </w:r>
      <w:r w:rsidR="0005467E">
        <w:rPr>
          <w:lang w:val="en-US"/>
        </w:rPr>
        <w:t xml:space="preserve">would </w:t>
      </w:r>
      <w:r w:rsidR="00F16122" w:rsidRPr="006B2089">
        <w:rPr>
          <w:lang w:val="en-US"/>
        </w:rPr>
        <w:t xml:space="preserve">enable them to follow emerging research questions and identify </w:t>
      </w:r>
      <w:proofErr w:type="gramStart"/>
      <w:r w:rsidR="00F16122" w:rsidRPr="006B2089">
        <w:rPr>
          <w:lang w:val="en-US"/>
        </w:rPr>
        <w:t>less</w:t>
      </w:r>
      <w:proofErr w:type="gramEnd"/>
      <w:r w:rsidR="00F16122" w:rsidRPr="006B2089">
        <w:rPr>
          <w:lang w:val="en-US"/>
        </w:rPr>
        <w:t xml:space="preserve"> promising domains. </w:t>
      </w:r>
      <w:r w:rsidR="002B42F5" w:rsidRPr="006B2089">
        <w:rPr>
          <w:lang w:val="en-US"/>
        </w:rPr>
        <w:t>It could also facilitate identification of research gaps</w:t>
      </w:r>
      <w:r w:rsidR="00512AE6">
        <w:rPr>
          <w:lang w:val="en-US"/>
        </w:rPr>
        <w:t>, research questions that may have been abandoned prematurely</w:t>
      </w:r>
      <w:r w:rsidR="002B42F5" w:rsidRPr="006B2089">
        <w:rPr>
          <w:lang w:val="en-US"/>
        </w:rPr>
        <w:t xml:space="preserve"> and redundancy in research</w:t>
      </w:r>
      <w:r w:rsidR="00512AE6">
        <w:rPr>
          <w:lang w:val="en-US"/>
        </w:rPr>
        <w:t>.</w:t>
      </w:r>
      <w:r w:rsidR="002B42F5" w:rsidRPr="006B2089">
        <w:rPr>
          <w:lang w:val="en-US"/>
        </w:rPr>
        <w:t xml:space="preserve"> Such approach </w:t>
      </w:r>
      <w:r w:rsidR="0005467E">
        <w:rPr>
          <w:lang w:val="en-US"/>
        </w:rPr>
        <w:t xml:space="preserve">could be implemented for any disease or research field. It could also be enriched with other data </w:t>
      </w:r>
      <w:r w:rsidR="00216207">
        <w:rPr>
          <w:lang w:val="en-US"/>
        </w:rPr>
        <w:t>(e.g., outcomes, number of patients actually included</w:t>
      </w:r>
      <w:r w:rsidR="00B736F6">
        <w:rPr>
          <w:lang w:val="en-US"/>
        </w:rPr>
        <w:t xml:space="preserve"> treatment effect estimates </w:t>
      </w:r>
      <w:proofErr w:type="spellStart"/>
      <w:r w:rsidR="00B736F6">
        <w:rPr>
          <w:lang w:val="en-US"/>
        </w:rPr>
        <w:t>etc</w:t>
      </w:r>
      <w:proofErr w:type="spellEnd"/>
      <w:r w:rsidR="00216207">
        <w:rPr>
          <w:lang w:val="en-US"/>
        </w:rPr>
        <w:t>)</w:t>
      </w:r>
      <w:r w:rsidR="003127B9">
        <w:rPr>
          <w:lang w:val="en-US"/>
        </w:rPr>
        <w:t xml:space="preserve">. </w:t>
      </w:r>
      <w:r w:rsidR="00512AE6">
        <w:rPr>
          <w:lang w:val="en-US"/>
        </w:rPr>
        <w:t xml:space="preserve">Nevertheless, it would imply having access to high quality data on research planning and conduct. </w:t>
      </w:r>
      <w:r w:rsidR="0044565D" w:rsidRPr="00C53E3C">
        <w:rPr>
          <w:lang w:val="en-US"/>
        </w:rPr>
        <w:t>Such dynamic visualizations may thus become reflective tools to foster the collective coordination between researchers.</w:t>
      </w:r>
    </w:p>
    <w:p w14:paraId="1FCB5F03" w14:textId="134AE58A" w:rsidR="00C33038" w:rsidRDefault="0005467E">
      <w:pPr>
        <w:jc w:val="both"/>
        <w:rPr>
          <w:lang w:val="en-US"/>
        </w:rPr>
      </w:pPr>
      <w:r>
        <w:rPr>
          <w:lang w:val="en-US"/>
        </w:rPr>
        <w:t>Ref</w:t>
      </w:r>
    </w:p>
    <w:p w14:paraId="3FFF8148" w14:textId="7873F1E6" w:rsidR="0005467E" w:rsidRPr="006B2089" w:rsidRDefault="0005467E" w:rsidP="0005467E">
      <w:pPr>
        <w:rPr>
          <w:rFonts w:ascii="Open Sans" w:hAnsi="Open Sans" w:cs="Open Sans"/>
          <w:color w:val="333333"/>
          <w:sz w:val="18"/>
          <w:szCs w:val="18"/>
          <w:shd w:val="clear" w:color="auto" w:fill="FFFFFF"/>
          <w:lang w:val="en-US"/>
        </w:rPr>
      </w:pPr>
      <w:r w:rsidRPr="00C53E3C">
        <w:rPr>
          <w:rFonts w:ascii="Open Sans" w:hAnsi="Open Sans" w:cs="Open Sans"/>
          <w:color w:val="333333"/>
          <w:sz w:val="18"/>
          <w:szCs w:val="18"/>
          <w:highlight w:val="yellow"/>
          <w:shd w:val="clear" w:color="auto" w:fill="FFFFFF"/>
          <w:lang w:val="en-US"/>
        </w:rPr>
        <w:t>PNAS May 25,</w:t>
      </w:r>
      <w:r>
        <w:rPr>
          <w:rFonts w:ascii="Open Sans" w:hAnsi="Open Sans" w:cs="Open Sans"/>
          <w:color w:val="333333"/>
          <w:sz w:val="18"/>
          <w:szCs w:val="18"/>
          <w:highlight w:val="yellow"/>
          <w:shd w:val="clear" w:color="auto" w:fill="FFFFFF"/>
          <w:lang w:val="en-US"/>
        </w:rPr>
        <w:t xml:space="preserve"> 2</w:t>
      </w:r>
      <w:r w:rsidRPr="00C53E3C">
        <w:rPr>
          <w:rFonts w:ascii="Open Sans" w:hAnsi="Open Sans" w:cs="Open Sans"/>
          <w:color w:val="333333"/>
          <w:sz w:val="18"/>
          <w:szCs w:val="18"/>
          <w:highlight w:val="yellow"/>
          <w:shd w:val="clear" w:color="auto" w:fill="FFFFFF"/>
          <w:lang w:val="en-US"/>
        </w:rPr>
        <w:t>021 118 (21) e2101718118 </w:t>
      </w:r>
      <w:hyperlink r:id="rId6" w:history="1">
        <w:r w:rsidRPr="00C53E3C">
          <w:rPr>
            <w:rFonts w:ascii="Open Sans" w:hAnsi="Open Sans" w:cs="Open Sans"/>
            <w:color w:val="005A96"/>
            <w:sz w:val="18"/>
            <w:szCs w:val="18"/>
            <w:highlight w:val="yellow"/>
            <w:u w:val="single"/>
            <w:lang w:val="en-US"/>
          </w:rPr>
          <w:t>https://doi.org/10.1073/pnas.2101718118</w:t>
        </w:r>
      </w:hyperlink>
    </w:p>
    <w:p w14:paraId="1313FE2B" w14:textId="3EA23100" w:rsidR="0005467E" w:rsidRPr="006B2089" w:rsidRDefault="0005467E" w:rsidP="0005467E">
      <w:pPr>
        <w:rPr>
          <w:rFonts w:ascii="Open Sans" w:hAnsi="Open Sans" w:cs="Open Sans"/>
          <w:color w:val="333333"/>
          <w:sz w:val="18"/>
          <w:szCs w:val="18"/>
          <w:shd w:val="clear" w:color="auto" w:fill="FFFFFF"/>
          <w:lang w:val="en-US"/>
        </w:rPr>
      </w:pPr>
    </w:p>
    <w:p w14:paraId="6F3EAA48" w14:textId="521791D4" w:rsidR="0005467E" w:rsidRPr="006B2089" w:rsidRDefault="0005467E" w:rsidP="0005467E">
      <w:pPr>
        <w:rPr>
          <w:rFonts w:ascii="Open Sans" w:hAnsi="Open Sans" w:cs="Open Sans"/>
          <w:color w:val="333333"/>
          <w:sz w:val="18"/>
          <w:szCs w:val="18"/>
          <w:shd w:val="clear" w:color="auto" w:fill="FFFFFF"/>
          <w:lang w:val="en-US"/>
        </w:rPr>
      </w:pPr>
    </w:p>
    <w:p w14:paraId="6D424DA7" w14:textId="476E8778" w:rsidR="0005467E" w:rsidRDefault="0005467E" w:rsidP="0005467E">
      <w:pPr>
        <w:rPr>
          <w:rFonts w:ascii="Open Sans" w:hAnsi="Open Sans" w:cs="Open Sans"/>
          <w:color w:val="333333"/>
          <w:sz w:val="18"/>
          <w:szCs w:val="18"/>
          <w:shd w:val="clear" w:color="auto" w:fill="FFFFFF"/>
          <w:lang w:val="en-US"/>
        </w:rPr>
      </w:pPr>
      <w:r>
        <w:rPr>
          <w:rFonts w:ascii="Open Sans" w:hAnsi="Open Sans" w:cs="Open Sans"/>
          <w:color w:val="333333"/>
          <w:sz w:val="18"/>
          <w:szCs w:val="18"/>
          <w:shd w:val="clear" w:color="auto" w:fill="FFFFFF"/>
          <w:lang w:val="en-US"/>
        </w:rPr>
        <w:t xml:space="preserve">Legends à </w:t>
      </w:r>
      <w:proofErr w:type="spellStart"/>
      <w:r>
        <w:rPr>
          <w:rFonts w:ascii="Open Sans" w:hAnsi="Open Sans" w:cs="Open Sans"/>
          <w:color w:val="333333"/>
          <w:sz w:val="18"/>
          <w:szCs w:val="18"/>
          <w:shd w:val="clear" w:color="auto" w:fill="FFFFFF"/>
          <w:lang w:val="en-US"/>
        </w:rPr>
        <w:t>rajouter</w:t>
      </w:r>
      <w:proofErr w:type="spellEnd"/>
      <w:r>
        <w:rPr>
          <w:rFonts w:ascii="Open Sans" w:hAnsi="Open Sans" w:cs="Open Sans"/>
          <w:color w:val="333333"/>
          <w:sz w:val="18"/>
          <w:szCs w:val="18"/>
          <w:shd w:val="clear" w:color="auto" w:fill="FFFFFF"/>
          <w:lang w:val="en-US"/>
        </w:rPr>
        <w:t xml:space="preserve"> aux figures</w:t>
      </w:r>
    </w:p>
    <w:p w14:paraId="764FDA96" w14:textId="16167417" w:rsidR="002C5BF3" w:rsidRDefault="002C5BF3" w:rsidP="0005467E">
      <w:pPr>
        <w:rPr>
          <w:rFonts w:ascii="Open Sans" w:hAnsi="Open Sans" w:cs="Open Sans"/>
          <w:color w:val="333333"/>
          <w:sz w:val="18"/>
          <w:szCs w:val="18"/>
          <w:shd w:val="clear" w:color="auto" w:fill="FFFFFF"/>
          <w:lang w:val="en-US"/>
        </w:rPr>
      </w:pPr>
      <w:r>
        <w:rPr>
          <w:rFonts w:ascii="Open Sans" w:hAnsi="Open Sans" w:cs="Open Sans"/>
          <w:color w:val="333333"/>
          <w:sz w:val="18"/>
          <w:szCs w:val="18"/>
          <w:shd w:val="clear" w:color="auto" w:fill="FFFFFF"/>
          <w:lang w:val="en-US"/>
        </w:rPr>
        <w:t>Related to boosting issue -&gt; evaluating of a booster dose</w:t>
      </w:r>
    </w:p>
    <w:p w14:paraId="76705FDB" w14:textId="5F652AF8" w:rsidR="002C5BF3" w:rsidRDefault="002C5BF3" w:rsidP="0005467E">
      <w:pPr>
        <w:rPr>
          <w:rFonts w:ascii="Open Sans" w:hAnsi="Open Sans" w:cs="Open Sans"/>
          <w:color w:val="333333"/>
          <w:sz w:val="18"/>
          <w:szCs w:val="18"/>
          <w:shd w:val="clear" w:color="auto" w:fill="FFFFFF"/>
          <w:lang w:val="en-US"/>
        </w:rPr>
      </w:pPr>
      <w:r>
        <w:rPr>
          <w:rFonts w:ascii="Open Sans" w:hAnsi="Open Sans" w:cs="Open Sans"/>
          <w:color w:val="333333"/>
          <w:sz w:val="18"/>
          <w:szCs w:val="18"/>
          <w:shd w:val="clear" w:color="auto" w:fill="FFFFFF"/>
          <w:lang w:val="en-US"/>
        </w:rPr>
        <w:t>Trials with publication -&gt; Trials with publication (i.e., preprint or peer-reviewed publication)</w:t>
      </w:r>
    </w:p>
    <w:p w14:paraId="472E681A" w14:textId="5A5C7886" w:rsidR="002C5BF3" w:rsidRDefault="002C5BF3" w:rsidP="0005467E">
      <w:pPr>
        <w:rPr>
          <w:rFonts w:ascii="Open Sans" w:hAnsi="Open Sans" w:cs="Open Sans"/>
          <w:color w:val="333333"/>
          <w:sz w:val="18"/>
          <w:szCs w:val="18"/>
          <w:shd w:val="clear" w:color="auto" w:fill="FFFFFF"/>
          <w:lang w:val="en-US"/>
        </w:rPr>
      </w:pPr>
    </w:p>
    <w:p w14:paraId="288886AC" w14:textId="3584EB2E" w:rsidR="002C5BF3" w:rsidRDefault="002C5BF3" w:rsidP="0005467E">
      <w:pPr>
        <w:rPr>
          <w:rFonts w:ascii="Open Sans" w:hAnsi="Open Sans" w:cs="Open Sans"/>
          <w:color w:val="333333"/>
          <w:sz w:val="18"/>
          <w:szCs w:val="18"/>
          <w:shd w:val="clear" w:color="auto" w:fill="FFFFFF"/>
          <w:lang w:val="en-US"/>
        </w:rPr>
      </w:pPr>
    </w:p>
    <w:p w14:paraId="473F238B" w14:textId="184BEA6A" w:rsidR="002C5BF3" w:rsidRDefault="002C5BF3" w:rsidP="0005467E">
      <w:pPr>
        <w:rPr>
          <w:rFonts w:ascii="Open Sans" w:hAnsi="Open Sans" w:cs="Open Sans"/>
          <w:color w:val="333333"/>
          <w:sz w:val="18"/>
          <w:szCs w:val="18"/>
          <w:shd w:val="clear" w:color="auto" w:fill="FFFFFF"/>
          <w:lang w:val="en-US"/>
        </w:rPr>
      </w:pPr>
      <w:proofErr w:type="spellStart"/>
      <w:r>
        <w:rPr>
          <w:rFonts w:ascii="Open Sans" w:hAnsi="Open Sans" w:cs="Open Sans"/>
          <w:color w:val="333333"/>
          <w:sz w:val="18"/>
          <w:szCs w:val="18"/>
          <w:shd w:val="clear" w:color="auto" w:fill="FFFFFF"/>
          <w:lang w:val="en-US"/>
        </w:rPr>
        <w:t>Hétérologous</w:t>
      </w:r>
      <w:proofErr w:type="spellEnd"/>
    </w:p>
    <w:p w14:paraId="336C9390" w14:textId="576F8214" w:rsidR="002C5BF3" w:rsidRDefault="002C5BF3" w:rsidP="0005467E">
      <w:pPr>
        <w:rPr>
          <w:rFonts w:ascii="Open Sans" w:hAnsi="Open Sans" w:cs="Open Sans"/>
          <w:color w:val="333333"/>
          <w:sz w:val="18"/>
          <w:szCs w:val="18"/>
          <w:shd w:val="clear" w:color="auto" w:fill="FFFFFF"/>
          <w:lang w:val="en-US"/>
        </w:rPr>
      </w:pPr>
    </w:p>
    <w:p w14:paraId="6BDE26BC" w14:textId="784D4DB3" w:rsidR="002C5BF3" w:rsidRPr="006B2089" w:rsidRDefault="002C5BF3" w:rsidP="0005467E">
      <w:pPr>
        <w:rPr>
          <w:lang w:val="en-US"/>
        </w:rPr>
      </w:pPr>
      <w:r>
        <w:rPr>
          <w:rFonts w:ascii="Open Sans" w:hAnsi="Open Sans" w:cs="Open Sans"/>
          <w:color w:val="333333"/>
          <w:sz w:val="18"/>
          <w:szCs w:val="18"/>
          <w:shd w:val="clear" w:color="auto" w:fill="FFFFFF"/>
          <w:lang w:val="en-US"/>
        </w:rPr>
        <w:lastRenderedPageBreak/>
        <w:t>In red are highlighted all the trials evaluating heterologous primary vaccination and heterologous booster (</w:t>
      </w:r>
      <w:r w:rsidRPr="006B2089">
        <w:rPr>
          <w:rFonts w:ascii="Open Sans" w:hAnsi="Open Sans" w:cs="Open Sans"/>
          <w:color w:val="333333"/>
          <w:sz w:val="18"/>
          <w:szCs w:val="18"/>
          <w:highlight w:val="yellow"/>
          <w:shd w:val="clear" w:color="auto" w:fill="FFFFFF"/>
          <w:lang w:val="en-US"/>
        </w:rPr>
        <w:t>to check</w:t>
      </w:r>
      <w:r>
        <w:rPr>
          <w:rFonts w:ascii="Open Sans" w:hAnsi="Open Sans" w:cs="Open Sans"/>
          <w:color w:val="333333"/>
          <w:sz w:val="18"/>
          <w:szCs w:val="18"/>
          <w:shd w:val="clear" w:color="auto" w:fill="FFFFFF"/>
          <w:lang w:val="en-US"/>
        </w:rPr>
        <w:t>). We highlighted only the heterologous vaccination involving different platforms.</w:t>
      </w:r>
    </w:p>
    <w:sectPr w:rsidR="002C5BF3" w:rsidRPr="006B2089" w:rsidSect="000429A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NimbusSanL">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1575A"/>
    <w:multiLevelType w:val="multilevel"/>
    <w:tmpl w:val="D776486E"/>
    <w:lvl w:ilvl="0">
      <w:start w:val="1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22"/>
    <w:rsid w:val="000001B0"/>
    <w:rsid w:val="00000DB0"/>
    <w:rsid w:val="00001C10"/>
    <w:rsid w:val="00004B97"/>
    <w:rsid w:val="000060C0"/>
    <w:rsid w:val="000078A9"/>
    <w:rsid w:val="0001038B"/>
    <w:rsid w:val="000104ED"/>
    <w:rsid w:val="00012FA4"/>
    <w:rsid w:val="00013647"/>
    <w:rsid w:val="00013C4F"/>
    <w:rsid w:val="00013CD3"/>
    <w:rsid w:val="00013EDF"/>
    <w:rsid w:val="00013F82"/>
    <w:rsid w:val="000147A3"/>
    <w:rsid w:val="000150C1"/>
    <w:rsid w:val="0001598C"/>
    <w:rsid w:val="00016109"/>
    <w:rsid w:val="00021A21"/>
    <w:rsid w:val="0002372E"/>
    <w:rsid w:val="00023DD2"/>
    <w:rsid w:val="000244D1"/>
    <w:rsid w:val="00025CB2"/>
    <w:rsid w:val="00025F50"/>
    <w:rsid w:val="00026E63"/>
    <w:rsid w:val="0003055C"/>
    <w:rsid w:val="00030B98"/>
    <w:rsid w:val="00033C3F"/>
    <w:rsid w:val="00033CEA"/>
    <w:rsid w:val="00033F5A"/>
    <w:rsid w:val="00033F84"/>
    <w:rsid w:val="00034DB8"/>
    <w:rsid w:val="000351EB"/>
    <w:rsid w:val="00035C65"/>
    <w:rsid w:val="0004180C"/>
    <w:rsid w:val="000429A7"/>
    <w:rsid w:val="00043559"/>
    <w:rsid w:val="00043595"/>
    <w:rsid w:val="00045C40"/>
    <w:rsid w:val="00046AA8"/>
    <w:rsid w:val="00046B75"/>
    <w:rsid w:val="00047CB6"/>
    <w:rsid w:val="00051111"/>
    <w:rsid w:val="00051461"/>
    <w:rsid w:val="00053A66"/>
    <w:rsid w:val="00053BE1"/>
    <w:rsid w:val="00053C4A"/>
    <w:rsid w:val="00053F69"/>
    <w:rsid w:val="0005467E"/>
    <w:rsid w:val="00057D02"/>
    <w:rsid w:val="0006060B"/>
    <w:rsid w:val="00061E7F"/>
    <w:rsid w:val="000622B6"/>
    <w:rsid w:val="0006312D"/>
    <w:rsid w:val="00064AED"/>
    <w:rsid w:val="000737DB"/>
    <w:rsid w:val="00077645"/>
    <w:rsid w:val="000825FB"/>
    <w:rsid w:val="000841F5"/>
    <w:rsid w:val="000849E0"/>
    <w:rsid w:val="00085C34"/>
    <w:rsid w:val="000869F8"/>
    <w:rsid w:val="00087435"/>
    <w:rsid w:val="0009440B"/>
    <w:rsid w:val="00095A62"/>
    <w:rsid w:val="00096764"/>
    <w:rsid w:val="000971BB"/>
    <w:rsid w:val="00097213"/>
    <w:rsid w:val="000A024B"/>
    <w:rsid w:val="000A0871"/>
    <w:rsid w:val="000A0B0D"/>
    <w:rsid w:val="000A16FE"/>
    <w:rsid w:val="000A26DF"/>
    <w:rsid w:val="000A3099"/>
    <w:rsid w:val="000A3A37"/>
    <w:rsid w:val="000A45F9"/>
    <w:rsid w:val="000A507D"/>
    <w:rsid w:val="000A6664"/>
    <w:rsid w:val="000A6C5F"/>
    <w:rsid w:val="000A772A"/>
    <w:rsid w:val="000B0138"/>
    <w:rsid w:val="000B0B0E"/>
    <w:rsid w:val="000B0F80"/>
    <w:rsid w:val="000B11F8"/>
    <w:rsid w:val="000B3707"/>
    <w:rsid w:val="000B454C"/>
    <w:rsid w:val="000B5127"/>
    <w:rsid w:val="000B532F"/>
    <w:rsid w:val="000B5771"/>
    <w:rsid w:val="000B5D84"/>
    <w:rsid w:val="000B61C3"/>
    <w:rsid w:val="000B6724"/>
    <w:rsid w:val="000B6BEE"/>
    <w:rsid w:val="000B71DF"/>
    <w:rsid w:val="000B7200"/>
    <w:rsid w:val="000C17E6"/>
    <w:rsid w:val="000C1B01"/>
    <w:rsid w:val="000C261F"/>
    <w:rsid w:val="000C3AD1"/>
    <w:rsid w:val="000C6410"/>
    <w:rsid w:val="000C662E"/>
    <w:rsid w:val="000D0817"/>
    <w:rsid w:val="000D171A"/>
    <w:rsid w:val="000D2EC6"/>
    <w:rsid w:val="000D30CC"/>
    <w:rsid w:val="000D3340"/>
    <w:rsid w:val="000D45B3"/>
    <w:rsid w:val="000D4A06"/>
    <w:rsid w:val="000D4EA7"/>
    <w:rsid w:val="000D6033"/>
    <w:rsid w:val="000D7C89"/>
    <w:rsid w:val="000E00A5"/>
    <w:rsid w:val="000E0AB2"/>
    <w:rsid w:val="000E36CE"/>
    <w:rsid w:val="000E391E"/>
    <w:rsid w:val="000E51D6"/>
    <w:rsid w:val="000E63CD"/>
    <w:rsid w:val="000E797D"/>
    <w:rsid w:val="000F04F4"/>
    <w:rsid w:val="000F0A78"/>
    <w:rsid w:val="000F0CD3"/>
    <w:rsid w:val="000F19F2"/>
    <w:rsid w:val="000F2C17"/>
    <w:rsid w:val="000F323F"/>
    <w:rsid w:val="000F4A6F"/>
    <w:rsid w:val="000F4D44"/>
    <w:rsid w:val="000F5BAF"/>
    <w:rsid w:val="000F60B7"/>
    <w:rsid w:val="000F6649"/>
    <w:rsid w:val="00101DE7"/>
    <w:rsid w:val="00104894"/>
    <w:rsid w:val="001048C1"/>
    <w:rsid w:val="00104E28"/>
    <w:rsid w:val="00105544"/>
    <w:rsid w:val="0010586F"/>
    <w:rsid w:val="00106701"/>
    <w:rsid w:val="00106B1A"/>
    <w:rsid w:val="00107499"/>
    <w:rsid w:val="0011116A"/>
    <w:rsid w:val="0011184D"/>
    <w:rsid w:val="00111F60"/>
    <w:rsid w:val="00112063"/>
    <w:rsid w:val="00113F33"/>
    <w:rsid w:val="00116698"/>
    <w:rsid w:val="0011717A"/>
    <w:rsid w:val="00117286"/>
    <w:rsid w:val="00117D99"/>
    <w:rsid w:val="001220BA"/>
    <w:rsid w:val="00124509"/>
    <w:rsid w:val="00124C62"/>
    <w:rsid w:val="001253EF"/>
    <w:rsid w:val="00125851"/>
    <w:rsid w:val="00125BED"/>
    <w:rsid w:val="00125FBC"/>
    <w:rsid w:val="00126638"/>
    <w:rsid w:val="001267F3"/>
    <w:rsid w:val="00127DF6"/>
    <w:rsid w:val="00127FA5"/>
    <w:rsid w:val="00130ADD"/>
    <w:rsid w:val="0013142C"/>
    <w:rsid w:val="001323AA"/>
    <w:rsid w:val="0013269D"/>
    <w:rsid w:val="001339B3"/>
    <w:rsid w:val="0013458B"/>
    <w:rsid w:val="001354C0"/>
    <w:rsid w:val="00136133"/>
    <w:rsid w:val="00136C68"/>
    <w:rsid w:val="00140207"/>
    <w:rsid w:val="00140F11"/>
    <w:rsid w:val="0014166F"/>
    <w:rsid w:val="00141CF5"/>
    <w:rsid w:val="00141F7A"/>
    <w:rsid w:val="00142C8F"/>
    <w:rsid w:val="001431A8"/>
    <w:rsid w:val="0014382A"/>
    <w:rsid w:val="001438FF"/>
    <w:rsid w:val="0014502A"/>
    <w:rsid w:val="00145458"/>
    <w:rsid w:val="00146A84"/>
    <w:rsid w:val="00146F24"/>
    <w:rsid w:val="00147A88"/>
    <w:rsid w:val="00154B40"/>
    <w:rsid w:val="0015652C"/>
    <w:rsid w:val="00162FA2"/>
    <w:rsid w:val="00164896"/>
    <w:rsid w:val="001650E3"/>
    <w:rsid w:val="00165E40"/>
    <w:rsid w:val="00167027"/>
    <w:rsid w:val="00167D71"/>
    <w:rsid w:val="00171026"/>
    <w:rsid w:val="00173302"/>
    <w:rsid w:val="0017418B"/>
    <w:rsid w:val="00174523"/>
    <w:rsid w:val="0017527C"/>
    <w:rsid w:val="00177361"/>
    <w:rsid w:val="00177EA5"/>
    <w:rsid w:val="00180ABD"/>
    <w:rsid w:val="00180C06"/>
    <w:rsid w:val="0018137B"/>
    <w:rsid w:val="00181915"/>
    <w:rsid w:val="00181C36"/>
    <w:rsid w:val="00185670"/>
    <w:rsid w:val="00186493"/>
    <w:rsid w:val="00186E1A"/>
    <w:rsid w:val="00187B02"/>
    <w:rsid w:val="00192839"/>
    <w:rsid w:val="00192959"/>
    <w:rsid w:val="00192B9D"/>
    <w:rsid w:val="001949D6"/>
    <w:rsid w:val="00195D85"/>
    <w:rsid w:val="00195EF6"/>
    <w:rsid w:val="001960FD"/>
    <w:rsid w:val="001969DC"/>
    <w:rsid w:val="00196A27"/>
    <w:rsid w:val="00197C5B"/>
    <w:rsid w:val="001A067C"/>
    <w:rsid w:val="001A0C31"/>
    <w:rsid w:val="001A1D89"/>
    <w:rsid w:val="001A33C9"/>
    <w:rsid w:val="001A463D"/>
    <w:rsid w:val="001A7E3B"/>
    <w:rsid w:val="001B1E7E"/>
    <w:rsid w:val="001B2511"/>
    <w:rsid w:val="001B391C"/>
    <w:rsid w:val="001B580C"/>
    <w:rsid w:val="001B7948"/>
    <w:rsid w:val="001C1691"/>
    <w:rsid w:val="001C2225"/>
    <w:rsid w:val="001C25D3"/>
    <w:rsid w:val="001C2D09"/>
    <w:rsid w:val="001C33BC"/>
    <w:rsid w:val="001C39ED"/>
    <w:rsid w:val="001C3F2B"/>
    <w:rsid w:val="001C556C"/>
    <w:rsid w:val="001D0B01"/>
    <w:rsid w:val="001D1A32"/>
    <w:rsid w:val="001D20E2"/>
    <w:rsid w:val="001D215B"/>
    <w:rsid w:val="001D2223"/>
    <w:rsid w:val="001D78A6"/>
    <w:rsid w:val="001D7C5F"/>
    <w:rsid w:val="001E24EC"/>
    <w:rsid w:val="001E24F2"/>
    <w:rsid w:val="001E28D0"/>
    <w:rsid w:val="001E2FA9"/>
    <w:rsid w:val="001E4569"/>
    <w:rsid w:val="001E5F76"/>
    <w:rsid w:val="001F1C6B"/>
    <w:rsid w:val="001F37FF"/>
    <w:rsid w:val="001F3C8A"/>
    <w:rsid w:val="001F437E"/>
    <w:rsid w:val="001F4C15"/>
    <w:rsid w:val="001F5542"/>
    <w:rsid w:val="001F61E1"/>
    <w:rsid w:val="0020016B"/>
    <w:rsid w:val="002007B5"/>
    <w:rsid w:val="00201223"/>
    <w:rsid w:val="002022D1"/>
    <w:rsid w:val="00202EB3"/>
    <w:rsid w:val="00203393"/>
    <w:rsid w:val="002045BF"/>
    <w:rsid w:val="0020518F"/>
    <w:rsid w:val="00206BF4"/>
    <w:rsid w:val="00207165"/>
    <w:rsid w:val="00207C98"/>
    <w:rsid w:val="00210890"/>
    <w:rsid w:val="00210A22"/>
    <w:rsid w:val="00211D67"/>
    <w:rsid w:val="00212CAE"/>
    <w:rsid w:val="00212EFC"/>
    <w:rsid w:val="00213364"/>
    <w:rsid w:val="00216148"/>
    <w:rsid w:val="00216207"/>
    <w:rsid w:val="002203E7"/>
    <w:rsid w:val="00221210"/>
    <w:rsid w:val="0022121B"/>
    <w:rsid w:val="002214BB"/>
    <w:rsid w:val="00223056"/>
    <w:rsid w:val="0022538C"/>
    <w:rsid w:val="00225A34"/>
    <w:rsid w:val="00225E59"/>
    <w:rsid w:val="002268FE"/>
    <w:rsid w:val="00227E7B"/>
    <w:rsid w:val="00230805"/>
    <w:rsid w:val="00230A48"/>
    <w:rsid w:val="00230D70"/>
    <w:rsid w:val="00233157"/>
    <w:rsid w:val="00241518"/>
    <w:rsid w:val="00241CF0"/>
    <w:rsid w:val="00246E9F"/>
    <w:rsid w:val="0024701A"/>
    <w:rsid w:val="00247F1B"/>
    <w:rsid w:val="002511E6"/>
    <w:rsid w:val="00251472"/>
    <w:rsid w:val="002514AE"/>
    <w:rsid w:val="00251E07"/>
    <w:rsid w:val="00253515"/>
    <w:rsid w:val="00253C7F"/>
    <w:rsid w:val="00253D03"/>
    <w:rsid w:val="002540DF"/>
    <w:rsid w:val="00255758"/>
    <w:rsid w:val="00257B7E"/>
    <w:rsid w:val="002630FC"/>
    <w:rsid w:val="0026389A"/>
    <w:rsid w:val="00263E08"/>
    <w:rsid w:val="002645BA"/>
    <w:rsid w:val="00266795"/>
    <w:rsid w:val="00270A1B"/>
    <w:rsid w:val="0027265F"/>
    <w:rsid w:val="002738E7"/>
    <w:rsid w:val="002742B4"/>
    <w:rsid w:val="00276EC6"/>
    <w:rsid w:val="00277357"/>
    <w:rsid w:val="00277C82"/>
    <w:rsid w:val="0028019C"/>
    <w:rsid w:val="002815E5"/>
    <w:rsid w:val="00282705"/>
    <w:rsid w:val="00283AA2"/>
    <w:rsid w:val="00291451"/>
    <w:rsid w:val="002920B5"/>
    <w:rsid w:val="00292961"/>
    <w:rsid w:val="00293B06"/>
    <w:rsid w:val="00293E91"/>
    <w:rsid w:val="00295023"/>
    <w:rsid w:val="002959AF"/>
    <w:rsid w:val="002969A1"/>
    <w:rsid w:val="00297C32"/>
    <w:rsid w:val="002A45D0"/>
    <w:rsid w:val="002A72DB"/>
    <w:rsid w:val="002A72E6"/>
    <w:rsid w:val="002A7FCC"/>
    <w:rsid w:val="002B02D5"/>
    <w:rsid w:val="002B1265"/>
    <w:rsid w:val="002B18BD"/>
    <w:rsid w:val="002B2A3C"/>
    <w:rsid w:val="002B3BFE"/>
    <w:rsid w:val="002B3C94"/>
    <w:rsid w:val="002B42F5"/>
    <w:rsid w:val="002B4FF2"/>
    <w:rsid w:val="002B50AC"/>
    <w:rsid w:val="002B5107"/>
    <w:rsid w:val="002B5DDF"/>
    <w:rsid w:val="002B62CE"/>
    <w:rsid w:val="002B6E74"/>
    <w:rsid w:val="002C05AC"/>
    <w:rsid w:val="002C115C"/>
    <w:rsid w:val="002C23B4"/>
    <w:rsid w:val="002C34A5"/>
    <w:rsid w:val="002C4595"/>
    <w:rsid w:val="002C4AF1"/>
    <w:rsid w:val="002C53A5"/>
    <w:rsid w:val="002C5BF3"/>
    <w:rsid w:val="002C5FD0"/>
    <w:rsid w:val="002C69ED"/>
    <w:rsid w:val="002D0476"/>
    <w:rsid w:val="002D0578"/>
    <w:rsid w:val="002D0DA2"/>
    <w:rsid w:val="002D1A55"/>
    <w:rsid w:val="002D1F3B"/>
    <w:rsid w:val="002D26C7"/>
    <w:rsid w:val="002D3CFF"/>
    <w:rsid w:val="002D42C4"/>
    <w:rsid w:val="002D45C6"/>
    <w:rsid w:val="002D461F"/>
    <w:rsid w:val="002D7AE4"/>
    <w:rsid w:val="002D7D7B"/>
    <w:rsid w:val="002E0E23"/>
    <w:rsid w:val="002E2D64"/>
    <w:rsid w:val="002E3358"/>
    <w:rsid w:val="002E4169"/>
    <w:rsid w:val="002E46BB"/>
    <w:rsid w:val="002E58F1"/>
    <w:rsid w:val="002E5B24"/>
    <w:rsid w:val="002E6995"/>
    <w:rsid w:val="002E69E2"/>
    <w:rsid w:val="002F0903"/>
    <w:rsid w:val="002F0939"/>
    <w:rsid w:val="002F0C60"/>
    <w:rsid w:val="002F1388"/>
    <w:rsid w:val="002F2B22"/>
    <w:rsid w:val="002F3672"/>
    <w:rsid w:val="002F3ADC"/>
    <w:rsid w:val="002F3E13"/>
    <w:rsid w:val="002F4E82"/>
    <w:rsid w:val="002F56B5"/>
    <w:rsid w:val="002F570F"/>
    <w:rsid w:val="002F601E"/>
    <w:rsid w:val="002F65A8"/>
    <w:rsid w:val="002F667B"/>
    <w:rsid w:val="002F7283"/>
    <w:rsid w:val="002F74F4"/>
    <w:rsid w:val="003003C4"/>
    <w:rsid w:val="00302600"/>
    <w:rsid w:val="003027DA"/>
    <w:rsid w:val="00305232"/>
    <w:rsid w:val="00307E8D"/>
    <w:rsid w:val="003127B9"/>
    <w:rsid w:val="003128D1"/>
    <w:rsid w:val="00312DD5"/>
    <w:rsid w:val="00314112"/>
    <w:rsid w:val="00314306"/>
    <w:rsid w:val="003147F5"/>
    <w:rsid w:val="003153A0"/>
    <w:rsid w:val="00315A9C"/>
    <w:rsid w:val="00317915"/>
    <w:rsid w:val="00317EBE"/>
    <w:rsid w:val="00320251"/>
    <w:rsid w:val="003212D9"/>
    <w:rsid w:val="003213B9"/>
    <w:rsid w:val="00322338"/>
    <w:rsid w:val="00324887"/>
    <w:rsid w:val="003261AC"/>
    <w:rsid w:val="003262B6"/>
    <w:rsid w:val="00326DAD"/>
    <w:rsid w:val="00331CBC"/>
    <w:rsid w:val="003323DA"/>
    <w:rsid w:val="00332871"/>
    <w:rsid w:val="0033313D"/>
    <w:rsid w:val="00336CF3"/>
    <w:rsid w:val="00337E36"/>
    <w:rsid w:val="0034073C"/>
    <w:rsid w:val="003407ED"/>
    <w:rsid w:val="003408C6"/>
    <w:rsid w:val="00341597"/>
    <w:rsid w:val="00342A53"/>
    <w:rsid w:val="00342E19"/>
    <w:rsid w:val="00343845"/>
    <w:rsid w:val="00343DE5"/>
    <w:rsid w:val="003450C7"/>
    <w:rsid w:val="0034511F"/>
    <w:rsid w:val="00350DA9"/>
    <w:rsid w:val="00350FD5"/>
    <w:rsid w:val="00355E70"/>
    <w:rsid w:val="00356676"/>
    <w:rsid w:val="00357EAB"/>
    <w:rsid w:val="00360058"/>
    <w:rsid w:val="003603C2"/>
    <w:rsid w:val="00360499"/>
    <w:rsid w:val="00360580"/>
    <w:rsid w:val="00360662"/>
    <w:rsid w:val="0036126A"/>
    <w:rsid w:val="00361322"/>
    <w:rsid w:val="0036179A"/>
    <w:rsid w:val="0036267E"/>
    <w:rsid w:val="00363A29"/>
    <w:rsid w:val="003648A3"/>
    <w:rsid w:val="00364A5F"/>
    <w:rsid w:val="00364C60"/>
    <w:rsid w:val="00365186"/>
    <w:rsid w:val="00365F65"/>
    <w:rsid w:val="0036668D"/>
    <w:rsid w:val="00367133"/>
    <w:rsid w:val="003701FA"/>
    <w:rsid w:val="003709FB"/>
    <w:rsid w:val="003718C4"/>
    <w:rsid w:val="00372BDA"/>
    <w:rsid w:val="0037384A"/>
    <w:rsid w:val="003746B2"/>
    <w:rsid w:val="003754DC"/>
    <w:rsid w:val="00375690"/>
    <w:rsid w:val="00376760"/>
    <w:rsid w:val="00376C76"/>
    <w:rsid w:val="00382AEB"/>
    <w:rsid w:val="003838FC"/>
    <w:rsid w:val="00383E93"/>
    <w:rsid w:val="00384707"/>
    <w:rsid w:val="00385A7F"/>
    <w:rsid w:val="00387453"/>
    <w:rsid w:val="00387B3D"/>
    <w:rsid w:val="003909DB"/>
    <w:rsid w:val="003927EA"/>
    <w:rsid w:val="003929AE"/>
    <w:rsid w:val="003935FC"/>
    <w:rsid w:val="003940DC"/>
    <w:rsid w:val="003945C9"/>
    <w:rsid w:val="00395322"/>
    <w:rsid w:val="00395BDB"/>
    <w:rsid w:val="003A1459"/>
    <w:rsid w:val="003A364C"/>
    <w:rsid w:val="003A37A6"/>
    <w:rsid w:val="003A5006"/>
    <w:rsid w:val="003A525C"/>
    <w:rsid w:val="003A78DB"/>
    <w:rsid w:val="003A79AF"/>
    <w:rsid w:val="003B0474"/>
    <w:rsid w:val="003B0522"/>
    <w:rsid w:val="003B0CC0"/>
    <w:rsid w:val="003B1163"/>
    <w:rsid w:val="003B2184"/>
    <w:rsid w:val="003B4528"/>
    <w:rsid w:val="003B4A7E"/>
    <w:rsid w:val="003B4C47"/>
    <w:rsid w:val="003C08AF"/>
    <w:rsid w:val="003C1571"/>
    <w:rsid w:val="003C3071"/>
    <w:rsid w:val="003C41DC"/>
    <w:rsid w:val="003C56ED"/>
    <w:rsid w:val="003C6AE7"/>
    <w:rsid w:val="003C7F6E"/>
    <w:rsid w:val="003D14CB"/>
    <w:rsid w:val="003D1E8A"/>
    <w:rsid w:val="003D1F6F"/>
    <w:rsid w:val="003D5085"/>
    <w:rsid w:val="003D514A"/>
    <w:rsid w:val="003D51E3"/>
    <w:rsid w:val="003D621A"/>
    <w:rsid w:val="003D6C99"/>
    <w:rsid w:val="003D70B6"/>
    <w:rsid w:val="003D7DBB"/>
    <w:rsid w:val="003E0A64"/>
    <w:rsid w:val="003E11E8"/>
    <w:rsid w:val="003E1ABA"/>
    <w:rsid w:val="003E5243"/>
    <w:rsid w:val="003E5DDA"/>
    <w:rsid w:val="003E698E"/>
    <w:rsid w:val="003F0416"/>
    <w:rsid w:val="003F0F73"/>
    <w:rsid w:val="003F3B6C"/>
    <w:rsid w:val="00400E6F"/>
    <w:rsid w:val="004013F4"/>
    <w:rsid w:val="00401BED"/>
    <w:rsid w:val="00402BC9"/>
    <w:rsid w:val="004038B9"/>
    <w:rsid w:val="00403E41"/>
    <w:rsid w:val="00405D48"/>
    <w:rsid w:val="004062C3"/>
    <w:rsid w:val="004075C3"/>
    <w:rsid w:val="0041127E"/>
    <w:rsid w:val="00411663"/>
    <w:rsid w:val="0041230F"/>
    <w:rsid w:val="00412316"/>
    <w:rsid w:val="00412E7F"/>
    <w:rsid w:val="00412F90"/>
    <w:rsid w:val="00413836"/>
    <w:rsid w:val="00414270"/>
    <w:rsid w:val="004142B2"/>
    <w:rsid w:val="0041468B"/>
    <w:rsid w:val="00414808"/>
    <w:rsid w:val="00416FF2"/>
    <w:rsid w:val="004175FD"/>
    <w:rsid w:val="00421AE2"/>
    <w:rsid w:val="00422B82"/>
    <w:rsid w:val="00423F14"/>
    <w:rsid w:val="00424B76"/>
    <w:rsid w:val="0043012E"/>
    <w:rsid w:val="0043068A"/>
    <w:rsid w:val="00431038"/>
    <w:rsid w:val="004310C1"/>
    <w:rsid w:val="00431219"/>
    <w:rsid w:val="00431566"/>
    <w:rsid w:val="0043156D"/>
    <w:rsid w:val="00431BE0"/>
    <w:rsid w:val="00431F34"/>
    <w:rsid w:val="00431F7F"/>
    <w:rsid w:val="00432068"/>
    <w:rsid w:val="004337DE"/>
    <w:rsid w:val="00434138"/>
    <w:rsid w:val="00441CFA"/>
    <w:rsid w:val="00442467"/>
    <w:rsid w:val="00443CC8"/>
    <w:rsid w:val="00444922"/>
    <w:rsid w:val="00444C9B"/>
    <w:rsid w:val="00444D86"/>
    <w:rsid w:val="0044565D"/>
    <w:rsid w:val="00445A6D"/>
    <w:rsid w:val="00450012"/>
    <w:rsid w:val="004507B5"/>
    <w:rsid w:val="00450E6F"/>
    <w:rsid w:val="00457017"/>
    <w:rsid w:val="00457793"/>
    <w:rsid w:val="00461E4D"/>
    <w:rsid w:val="00462DD6"/>
    <w:rsid w:val="00464B6B"/>
    <w:rsid w:val="004671DA"/>
    <w:rsid w:val="0047465C"/>
    <w:rsid w:val="00475004"/>
    <w:rsid w:val="00475C13"/>
    <w:rsid w:val="004760C9"/>
    <w:rsid w:val="00476258"/>
    <w:rsid w:val="0047625A"/>
    <w:rsid w:val="00481724"/>
    <w:rsid w:val="004841A7"/>
    <w:rsid w:val="00484274"/>
    <w:rsid w:val="00486152"/>
    <w:rsid w:val="0048632D"/>
    <w:rsid w:val="0048680A"/>
    <w:rsid w:val="00491111"/>
    <w:rsid w:val="0049242E"/>
    <w:rsid w:val="00492EED"/>
    <w:rsid w:val="004935BE"/>
    <w:rsid w:val="004942DE"/>
    <w:rsid w:val="00495564"/>
    <w:rsid w:val="0049594D"/>
    <w:rsid w:val="00495AE9"/>
    <w:rsid w:val="004965BC"/>
    <w:rsid w:val="004966AF"/>
    <w:rsid w:val="004A0065"/>
    <w:rsid w:val="004A1463"/>
    <w:rsid w:val="004A1EF9"/>
    <w:rsid w:val="004A27C7"/>
    <w:rsid w:val="004A2CB9"/>
    <w:rsid w:val="004A4119"/>
    <w:rsid w:val="004A48A1"/>
    <w:rsid w:val="004A4CF6"/>
    <w:rsid w:val="004A5016"/>
    <w:rsid w:val="004A6363"/>
    <w:rsid w:val="004A7692"/>
    <w:rsid w:val="004A77A3"/>
    <w:rsid w:val="004B2F39"/>
    <w:rsid w:val="004B38A4"/>
    <w:rsid w:val="004B4566"/>
    <w:rsid w:val="004B459B"/>
    <w:rsid w:val="004B5266"/>
    <w:rsid w:val="004B7258"/>
    <w:rsid w:val="004C00F8"/>
    <w:rsid w:val="004C2D72"/>
    <w:rsid w:val="004C315C"/>
    <w:rsid w:val="004C3BC5"/>
    <w:rsid w:val="004C5D5A"/>
    <w:rsid w:val="004C7613"/>
    <w:rsid w:val="004D030C"/>
    <w:rsid w:val="004D2FF7"/>
    <w:rsid w:val="004D4F4A"/>
    <w:rsid w:val="004D5A95"/>
    <w:rsid w:val="004D5FCF"/>
    <w:rsid w:val="004E05A3"/>
    <w:rsid w:val="004E0B2E"/>
    <w:rsid w:val="004E214D"/>
    <w:rsid w:val="004E2C75"/>
    <w:rsid w:val="004E35D5"/>
    <w:rsid w:val="004E3F71"/>
    <w:rsid w:val="004E42A9"/>
    <w:rsid w:val="004E4C37"/>
    <w:rsid w:val="004E56F1"/>
    <w:rsid w:val="004E5C95"/>
    <w:rsid w:val="004E74C8"/>
    <w:rsid w:val="004E7C4F"/>
    <w:rsid w:val="004F09C1"/>
    <w:rsid w:val="004F15FA"/>
    <w:rsid w:val="004F413D"/>
    <w:rsid w:val="004F5B3A"/>
    <w:rsid w:val="004F665D"/>
    <w:rsid w:val="004F6911"/>
    <w:rsid w:val="004F7FA8"/>
    <w:rsid w:val="005000BA"/>
    <w:rsid w:val="00502D39"/>
    <w:rsid w:val="00502FA5"/>
    <w:rsid w:val="0050325F"/>
    <w:rsid w:val="0050631A"/>
    <w:rsid w:val="005069C4"/>
    <w:rsid w:val="00507ECB"/>
    <w:rsid w:val="0051293E"/>
    <w:rsid w:val="00512AE6"/>
    <w:rsid w:val="00513812"/>
    <w:rsid w:val="0051407E"/>
    <w:rsid w:val="005153D3"/>
    <w:rsid w:val="005160D1"/>
    <w:rsid w:val="0051732F"/>
    <w:rsid w:val="00520234"/>
    <w:rsid w:val="005222E1"/>
    <w:rsid w:val="005222F1"/>
    <w:rsid w:val="005225D6"/>
    <w:rsid w:val="00523867"/>
    <w:rsid w:val="00524A3B"/>
    <w:rsid w:val="00525A25"/>
    <w:rsid w:val="0052641A"/>
    <w:rsid w:val="005279A8"/>
    <w:rsid w:val="0053011C"/>
    <w:rsid w:val="00530328"/>
    <w:rsid w:val="005307CF"/>
    <w:rsid w:val="00530ABD"/>
    <w:rsid w:val="005313DB"/>
    <w:rsid w:val="005315D7"/>
    <w:rsid w:val="005331C2"/>
    <w:rsid w:val="00533C3B"/>
    <w:rsid w:val="0053545E"/>
    <w:rsid w:val="00535DF4"/>
    <w:rsid w:val="00536C9B"/>
    <w:rsid w:val="00537040"/>
    <w:rsid w:val="00541FB0"/>
    <w:rsid w:val="005420BE"/>
    <w:rsid w:val="00542FB3"/>
    <w:rsid w:val="005430C5"/>
    <w:rsid w:val="005435A0"/>
    <w:rsid w:val="00543815"/>
    <w:rsid w:val="005513F2"/>
    <w:rsid w:val="00551C45"/>
    <w:rsid w:val="00551E9E"/>
    <w:rsid w:val="00552CA8"/>
    <w:rsid w:val="00554123"/>
    <w:rsid w:val="005545FB"/>
    <w:rsid w:val="0055466B"/>
    <w:rsid w:val="00554A86"/>
    <w:rsid w:val="00555BA8"/>
    <w:rsid w:val="00556F82"/>
    <w:rsid w:val="00556F84"/>
    <w:rsid w:val="00561071"/>
    <w:rsid w:val="00562F2D"/>
    <w:rsid w:val="00563172"/>
    <w:rsid w:val="00564DAA"/>
    <w:rsid w:val="005657C7"/>
    <w:rsid w:val="00565F10"/>
    <w:rsid w:val="00566093"/>
    <w:rsid w:val="00567505"/>
    <w:rsid w:val="00570A83"/>
    <w:rsid w:val="005737EE"/>
    <w:rsid w:val="005739F6"/>
    <w:rsid w:val="00574036"/>
    <w:rsid w:val="00574BF5"/>
    <w:rsid w:val="0057717D"/>
    <w:rsid w:val="00582D7F"/>
    <w:rsid w:val="00585BF4"/>
    <w:rsid w:val="00586D33"/>
    <w:rsid w:val="00586E3E"/>
    <w:rsid w:val="005941C4"/>
    <w:rsid w:val="005942B4"/>
    <w:rsid w:val="00594547"/>
    <w:rsid w:val="005947D9"/>
    <w:rsid w:val="0059514C"/>
    <w:rsid w:val="0059525A"/>
    <w:rsid w:val="00595BE4"/>
    <w:rsid w:val="00596764"/>
    <w:rsid w:val="00596B61"/>
    <w:rsid w:val="005A051E"/>
    <w:rsid w:val="005A391D"/>
    <w:rsid w:val="005A43C3"/>
    <w:rsid w:val="005A4595"/>
    <w:rsid w:val="005A46FE"/>
    <w:rsid w:val="005A479C"/>
    <w:rsid w:val="005A49EC"/>
    <w:rsid w:val="005A526D"/>
    <w:rsid w:val="005A5E13"/>
    <w:rsid w:val="005A61FC"/>
    <w:rsid w:val="005A7A67"/>
    <w:rsid w:val="005A7AAB"/>
    <w:rsid w:val="005B1AA6"/>
    <w:rsid w:val="005B1B90"/>
    <w:rsid w:val="005B1F9F"/>
    <w:rsid w:val="005B37D2"/>
    <w:rsid w:val="005B3CA9"/>
    <w:rsid w:val="005B48B0"/>
    <w:rsid w:val="005B4D2D"/>
    <w:rsid w:val="005B522F"/>
    <w:rsid w:val="005B71B7"/>
    <w:rsid w:val="005B732E"/>
    <w:rsid w:val="005C05E3"/>
    <w:rsid w:val="005C1604"/>
    <w:rsid w:val="005C1656"/>
    <w:rsid w:val="005C2119"/>
    <w:rsid w:val="005C33A2"/>
    <w:rsid w:val="005C3966"/>
    <w:rsid w:val="005C4018"/>
    <w:rsid w:val="005C406D"/>
    <w:rsid w:val="005C4249"/>
    <w:rsid w:val="005C467B"/>
    <w:rsid w:val="005C477E"/>
    <w:rsid w:val="005C48B8"/>
    <w:rsid w:val="005C4F1E"/>
    <w:rsid w:val="005C61C2"/>
    <w:rsid w:val="005C66BA"/>
    <w:rsid w:val="005D0A18"/>
    <w:rsid w:val="005D1E98"/>
    <w:rsid w:val="005D43DF"/>
    <w:rsid w:val="005D5C85"/>
    <w:rsid w:val="005D5D7C"/>
    <w:rsid w:val="005D60B3"/>
    <w:rsid w:val="005E1072"/>
    <w:rsid w:val="005E25E4"/>
    <w:rsid w:val="005E334B"/>
    <w:rsid w:val="005E35DB"/>
    <w:rsid w:val="005E3908"/>
    <w:rsid w:val="005E4A13"/>
    <w:rsid w:val="005E5D73"/>
    <w:rsid w:val="005E7DA2"/>
    <w:rsid w:val="005F1957"/>
    <w:rsid w:val="005F3123"/>
    <w:rsid w:val="005F37A7"/>
    <w:rsid w:val="005F45D8"/>
    <w:rsid w:val="005F5C00"/>
    <w:rsid w:val="005F7DE7"/>
    <w:rsid w:val="005F7E51"/>
    <w:rsid w:val="0060199D"/>
    <w:rsid w:val="00601A6D"/>
    <w:rsid w:val="00603490"/>
    <w:rsid w:val="00605063"/>
    <w:rsid w:val="0060689C"/>
    <w:rsid w:val="006107FA"/>
    <w:rsid w:val="00610B32"/>
    <w:rsid w:val="00610FD1"/>
    <w:rsid w:val="00611627"/>
    <w:rsid w:val="006118E3"/>
    <w:rsid w:val="00611A07"/>
    <w:rsid w:val="006122A3"/>
    <w:rsid w:val="00612A43"/>
    <w:rsid w:val="00612B31"/>
    <w:rsid w:val="00613EFC"/>
    <w:rsid w:val="0061436F"/>
    <w:rsid w:val="006155CF"/>
    <w:rsid w:val="00615C21"/>
    <w:rsid w:val="00615E71"/>
    <w:rsid w:val="00616305"/>
    <w:rsid w:val="006177BD"/>
    <w:rsid w:val="006203F9"/>
    <w:rsid w:val="00623DE8"/>
    <w:rsid w:val="00623E73"/>
    <w:rsid w:val="00625B7C"/>
    <w:rsid w:val="00625C22"/>
    <w:rsid w:val="0062614D"/>
    <w:rsid w:val="00626516"/>
    <w:rsid w:val="00627119"/>
    <w:rsid w:val="00627604"/>
    <w:rsid w:val="006304DC"/>
    <w:rsid w:val="00632B81"/>
    <w:rsid w:val="0063490A"/>
    <w:rsid w:val="006349B6"/>
    <w:rsid w:val="006350E6"/>
    <w:rsid w:val="0063612C"/>
    <w:rsid w:val="006367B1"/>
    <w:rsid w:val="006405CB"/>
    <w:rsid w:val="00640E66"/>
    <w:rsid w:val="00642E86"/>
    <w:rsid w:val="00643991"/>
    <w:rsid w:val="00644113"/>
    <w:rsid w:val="006521C6"/>
    <w:rsid w:val="00652E28"/>
    <w:rsid w:val="00653146"/>
    <w:rsid w:val="0065467E"/>
    <w:rsid w:val="0065565D"/>
    <w:rsid w:val="00655BF8"/>
    <w:rsid w:val="00656EC1"/>
    <w:rsid w:val="00657A71"/>
    <w:rsid w:val="00657FC9"/>
    <w:rsid w:val="00660171"/>
    <w:rsid w:val="00660504"/>
    <w:rsid w:val="0066196F"/>
    <w:rsid w:val="006620C4"/>
    <w:rsid w:val="00663013"/>
    <w:rsid w:val="00664534"/>
    <w:rsid w:val="00664F1B"/>
    <w:rsid w:val="00665123"/>
    <w:rsid w:val="006660CB"/>
    <w:rsid w:val="00667D5E"/>
    <w:rsid w:val="00670D47"/>
    <w:rsid w:val="00672CF9"/>
    <w:rsid w:val="0067403F"/>
    <w:rsid w:val="00675DBB"/>
    <w:rsid w:val="0067691B"/>
    <w:rsid w:val="00676B95"/>
    <w:rsid w:val="006770E0"/>
    <w:rsid w:val="006777A6"/>
    <w:rsid w:val="00680112"/>
    <w:rsid w:val="00681137"/>
    <w:rsid w:val="00681D55"/>
    <w:rsid w:val="00683476"/>
    <w:rsid w:val="006849F5"/>
    <w:rsid w:val="006850C0"/>
    <w:rsid w:val="00685A73"/>
    <w:rsid w:val="006868C1"/>
    <w:rsid w:val="006901C2"/>
    <w:rsid w:val="00690593"/>
    <w:rsid w:val="00690660"/>
    <w:rsid w:val="00690B69"/>
    <w:rsid w:val="00691518"/>
    <w:rsid w:val="00693011"/>
    <w:rsid w:val="0069464E"/>
    <w:rsid w:val="0069779C"/>
    <w:rsid w:val="006A127A"/>
    <w:rsid w:val="006A24ED"/>
    <w:rsid w:val="006A3290"/>
    <w:rsid w:val="006A469D"/>
    <w:rsid w:val="006A5A4D"/>
    <w:rsid w:val="006A6F7A"/>
    <w:rsid w:val="006A7DCE"/>
    <w:rsid w:val="006B0729"/>
    <w:rsid w:val="006B0A3F"/>
    <w:rsid w:val="006B1D61"/>
    <w:rsid w:val="006B1EC5"/>
    <w:rsid w:val="006B2089"/>
    <w:rsid w:val="006B375B"/>
    <w:rsid w:val="006B432A"/>
    <w:rsid w:val="006B546E"/>
    <w:rsid w:val="006B6C17"/>
    <w:rsid w:val="006B73A9"/>
    <w:rsid w:val="006B73CF"/>
    <w:rsid w:val="006C00E5"/>
    <w:rsid w:val="006C07BC"/>
    <w:rsid w:val="006C1909"/>
    <w:rsid w:val="006C2102"/>
    <w:rsid w:val="006C3469"/>
    <w:rsid w:val="006C3FBC"/>
    <w:rsid w:val="006C4919"/>
    <w:rsid w:val="006C79D9"/>
    <w:rsid w:val="006D0751"/>
    <w:rsid w:val="006D1B68"/>
    <w:rsid w:val="006D2155"/>
    <w:rsid w:val="006D2596"/>
    <w:rsid w:val="006D362C"/>
    <w:rsid w:val="006D43C7"/>
    <w:rsid w:val="006D4D70"/>
    <w:rsid w:val="006D4E53"/>
    <w:rsid w:val="006D6D3C"/>
    <w:rsid w:val="006D6D5E"/>
    <w:rsid w:val="006E0A81"/>
    <w:rsid w:val="006E29DC"/>
    <w:rsid w:val="006E48DD"/>
    <w:rsid w:val="006E647E"/>
    <w:rsid w:val="006E64FC"/>
    <w:rsid w:val="006E668A"/>
    <w:rsid w:val="006E6E80"/>
    <w:rsid w:val="006E6F6C"/>
    <w:rsid w:val="006F2B68"/>
    <w:rsid w:val="006F2C9D"/>
    <w:rsid w:val="006F30D3"/>
    <w:rsid w:val="006F5CD5"/>
    <w:rsid w:val="00700060"/>
    <w:rsid w:val="00701AE0"/>
    <w:rsid w:val="0070282B"/>
    <w:rsid w:val="00702E00"/>
    <w:rsid w:val="00702F7F"/>
    <w:rsid w:val="00703CC5"/>
    <w:rsid w:val="00707D8B"/>
    <w:rsid w:val="00707F01"/>
    <w:rsid w:val="00710D90"/>
    <w:rsid w:val="007117A0"/>
    <w:rsid w:val="00712CE9"/>
    <w:rsid w:val="00713DB2"/>
    <w:rsid w:val="007142A1"/>
    <w:rsid w:val="00714D44"/>
    <w:rsid w:val="00716847"/>
    <w:rsid w:val="00716E15"/>
    <w:rsid w:val="00721E00"/>
    <w:rsid w:val="007221E9"/>
    <w:rsid w:val="007231B3"/>
    <w:rsid w:val="0072336C"/>
    <w:rsid w:val="00723F3A"/>
    <w:rsid w:val="007243FE"/>
    <w:rsid w:val="00724BB3"/>
    <w:rsid w:val="00724CC9"/>
    <w:rsid w:val="0072607D"/>
    <w:rsid w:val="007303B5"/>
    <w:rsid w:val="007308B6"/>
    <w:rsid w:val="007310DA"/>
    <w:rsid w:val="0073200F"/>
    <w:rsid w:val="00732C3C"/>
    <w:rsid w:val="007334BE"/>
    <w:rsid w:val="00735FC2"/>
    <w:rsid w:val="007367B9"/>
    <w:rsid w:val="00736E5D"/>
    <w:rsid w:val="007400AC"/>
    <w:rsid w:val="00740715"/>
    <w:rsid w:val="007427D2"/>
    <w:rsid w:val="00742EC9"/>
    <w:rsid w:val="00744B78"/>
    <w:rsid w:val="007465CF"/>
    <w:rsid w:val="00746C7A"/>
    <w:rsid w:val="007513F5"/>
    <w:rsid w:val="00751900"/>
    <w:rsid w:val="00752EC9"/>
    <w:rsid w:val="0075358D"/>
    <w:rsid w:val="00753940"/>
    <w:rsid w:val="007539FD"/>
    <w:rsid w:val="0075408B"/>
    <w:rsid w:val="00754CF5"/>
    <w:rsid w:val="00755360"/>
    <w:rsid w:val="00755786"/>
    <w:rsid w:val="00756670"/>
    <w:rsid w:val="00760318"/>
    <w:rsid w:val="00760B83"/>
    <w:rsid w:val="00761804"/>
    <w:rsid w:val="007619DD"/>
    <w:rsid w:val="00762898"/>
    <w:rsid w:val="007629FC"/>
    <w:rsid w:val="007631B8"/>
    <w:rsid w:val="00763C4E"/>
    <w:rsid w:val="007646D5"/>
    <w:rsid w:val="00765BF9"/>
    <w:rsid w:val="007671DB"/>
    <w:rsid w:val="00767958"/>
    <w:rsid w:val="00777BC7"/>
    <w:rsid w:val="00777C14"/>
    <w:rsid w:val="00777F84"/>
    <w:rsid w:val="00782395"/>
    <w:rsid w:val="007827D5"/>
    <w:rsid w:val="007830C7"/>
    <w:rsid w:val="00783EFF"/>
    <w:rsid w:val="0078572B"/>
    <w:rsid w:val="007879BD"/>
    <w:rsid w:val="00787F49"/>
    <w:rsid w:val="007924B0"/>
    <w:rsid w:val="007933EA"/>
    <w:rsid w:val="007946C5"/>
    <w:rsid w:val="00795AD5"/>
    <w:rsid w:val="00795CCE"/>
    <w:rsid w:val="00797A32"/>
    <w:rsid w:val="007A0E93"/>
    <w:rsid w:val="007A1EB0"/>
    <w:rsid w:val="007A56BE"/>
    <w:rsid w:val="007A59BC"/>
    <w:rsid w:val="007B03F1"/>
    <w:rsid w:val="007B1459"/>
    <w:rsid w:val="007B2030"/>
    <w:rsid w:val="007B2212"/>
    <w:rsid w:val="007B365D"/>
    <w:rsid w:val="007B405B"/>
    <w:rsid w:val="007B5C4C"/>
    <w:rsid w:val="007B5D8F"/>
    <w:rsid w:val="007B7631"/>
    <w:rsid w:val="007C072E"/>
    <w:rsid w:val="007C0EB5"/>
    <w:rsid w:val="007C21A2"/>
    <w:rsid w:val="007C2FE2"/>
    <w:rsid w:val="007C694E"/>
    <w:rsid w:val="007C7825"/>
    <w:rsid w:val="007C7A9E"/>
    <w:rsid w:val="007D2838"/>
    <w:rsid w:val="007D37F8"/>
    <w:rsid w:val="007D3ADC"/>
    <w:rsid w:val="007D4105"/>
    <w:rsid w:val="007D6D21"/>
    <w:rsid w:val="007D7418"/>
    <w:rsid w:val="007D7736"/>
    <w:rsid w:val="007D77F9"/>
    <w:rsid w:val="007D7A4C"/>
    <w:rsid w:val="007E00E4"/>
    <w:rsid w:val="007E0372"/>
    <w:rsid w:val="007E1191"/>
    <w:rsid w:val="007E207E"/>
    <w:rsid w:val="007E2810"/>
    <w:rsid w:val="007E5A0C"/>
    <w:rsid w:val="007E674E"/>
    <w:rsid w:val="007F0EDA"/>
    <w:rsid w:val="007F206C"/>
    <w:rsid w:val="007F222F"/>
    <w:rsid w:val="007F3FDB"/>
    <w:rsid w:val="007F486F"/>
    <w:rsid w:val="007F4DAC"/>
    <w:rsid w:val="007F53DE"/>
    <w:rsid w:val="007F5A23"/>
    <w:rsid w:val="007F677F"/>
    <w:rsid w:val="00801A0B"/>
    <w:rsid w:val="00804610"/>
    <w:rsid w:val="00806F78"/>
    <w:rsid w:val="008070FB"/>
    <w:rsid w:val="00807770"/>
    <w:rsid w:val="0081004C"/>
    <w:rsid w:val="0081075D"/>
    <w:rsid w:val="0081103E"/>
    <w:rsid w:val="0081225A"/>
    <w:rsid w:val="00813793"/>
    <w:rsid w:val="00814297"/>
    <w:rsid w:val="0081644E"/>
    <w:rsid w:val="008176FF"/>
    <w:rsid w:val="0082064C"/>
    <w:rsid w:val="008211E1"/>
    <w:rsid w:val="008229FE"/>
    <w:rsid w:val="0082366F"/>
    <w:rsid w:val="00823AC5"/>
    <w:rsid w:val="00825411"/>
    <w:rsid w:val="00825FB6"/>
    <w:rsid w:val="00826D88"/>
    <w:rsid w:val="00831475"/>
    <w:rsid w:val="008316FF"/>
    <w:rsid w:val="00833177"/>
    <w:rsid w:val="00833781"/>
    <w:rsid w:val="008343EB"/>
    <w:rsid w:val="00834A33"/>
    <w:rsid w:val="00834D19"/>
    <w:rsid w:val="0083580C"/>
    <w:rsid w:val="008358EF"/>
    <w:rsid w:val="008362EE"/>
    <w:rsid w:val="00841607"/>
    <w:rsid w:val="00841F78"/>
    <w:rsid w:val="008430EB"/>
    <w:rsid w:val="00844AE5"/>
    <w:rsid w:val="00844F4B"/>
    <w:rsid w:val="00845339"/>
    <w:rsid w:val="00846927"/>
    <w:rsid w:val="00847589"/>
    <w:rsid w:val="0085040E"/>
    <w:rsid w:val="00850E06"/>
    <w:rsid w:val="00851AAC"/>
    <w:rsid w:val="0085254F"/>
    <w:rsid w:val="00853AB7"/>
    <w:rsid w:val="008555C8"/>
    <w:rsid w:val="0086038B"/>
    <w:rsid w:val="00863546"/>
    <w:rsid w:val="00863BED"/>
    <w:rsid w:val="00863CFC"/>
    <w:rsid w:val="0086448E"/>
    <w:rsid w:val="00865853"/>
    <w:rsid w:val="00866015"/>
    <w:rsid w:val="008675FC"/>
    <w:rsid w:val="00871A48"/>
    <w:rsid w:val="00871E49"/>
    <w:rsid w:val="00872F6F"/>
    <w:rsid w:val="00873536"/>
    <w:rsid w:val="008742F4"/>
    <w:rsid w:val="00874B2C"/>
    <w:rsid w:val="00874BD1"/>
    <w:rsid w:val="00875D58"/>
    <w:rsid w:val="00875EEB"/>
    <w:rsid w:val="008815DC"/>
    <w:rsid w:val="008829D8"/>
    <w:rsid w:val="00883C34"/>
    <w:rsid w:val="00887007"/>
    <w:rsid w:val="00891A2A"/>
    <w:rsid w:val="00893FBF"/>
    <w:rsid w:val="008946C7"/>
    <w:rsid w:val="008947FD"/>
    <w:rsid w:val="008960CC"/>
    <w:rsid w:val="00896E0D"/>
    <w:rsid w:val="00897B98"/>
    <w:rsid w:val="008A1A4D"/>
    <w:rsid w:val="008A3A47"/>
    <w:rsid w:val="008A3E77"/>
    <w:rsid w:val="008A3EC3"/>
    <w:rsid w:val="008A3FEC"/>
    <w:rsid w:val="008A4BFF"/>
    <w:rsid w:val="008A56A5"/>
    <w:rsid w:val="008A5D36"/>
    <w:rsid w:val="008A5E40"/>
    <w:rsid w:val="008A7C8B"/>
    <w:rsid w:val="008B04BA"/>
    <w:rsid w:val="008B18F4"/>
    <w:rsid w:val="008B2EC2"/>
    <w:rsid w:val="008B2F6A"/>
    <w:rsid w:val="008B425E"/>
    <w:rsid w:val="008B4686"/>
    <w:rsid w:val="008B4D8F"/>
    <w:rsid w:val="008B5347"/>
    <w:rsid w:val="008C2395"/>
    <w:rsid w:val="008C25C0"/>
    <w:rsid w:val="008C29FC"/>
    <w:rsid w:val="008C3CEC"/>
    <w:rsid w:val="008C42C9"/>
    <w:rsid w:val="008C5802"/>
    <w:rsid w:val="008C6256"/>
    <w:rsid w:val="008C7205"/>
    <w:rsid w:val="008C735F"/>
    <w:rsid w:val="008C7A26"/>
    <w:rsid w:val="008D0B66"/>
    <w:rsid w:val="008D0C6B"/>
    <w:rsid w:val="008D1A8B"/>
    <w:rsid w:val="008D30EA"/>
    <w:rsid w:val="008D37ED"/>
    <w:rsid w:val="008D44C7"/>
    <w:rsid w:val="008D615A"/>
    <w:rsid w:val="008D6ACA"/>
    <w:rsid w:val="008E1F86"/>
    <w:rsid w:val="008E202E"/>
    <w:rsid w:val="008E218E"/>
    <w:rsid w:val="008E291A"/>
    <w:rsid w:val="008E2C39"/>
    <w:rsid w:val="008E3F8F"/>
    <w:rsid w:val="008E495C"/>
    <w:rsid w:val="008E6D3F"/>
    <w:rsid w:val="008E7471"/>
    <w:rsid w:val="008F02C5"/>
    <w:rsid w:val="008F327A"/>
    <w:rsid w:val="008F4463"/>
    <w:rsid w:val="008F45F7"/>
    <w:rsid w:val="008F5672"/>
    <w:rsid w:val="008F5726"/>
    <w:rsid w:val="008F5D90"/>
    <w:rsid w:val="008F65C7"/>
    <w:rsid w:val="008F7271"/>
    <w:rsid w:val="00900A7A"/>
    <w:rsid w:val="00900F55"/>
    <w:rsid w:val="0090285C"/>
    <w:rsid w:val="00903146"/>
    <w:rsid w:val="00903B54"/>
    <w:rsid w:val="00903FA5"/>
    <w:rsid w:val="00904785"/>
    <w:rsid w:val="009056AC"/>
    <w:rsid w:val="00906E6E"/>
    <w:rsid w:val="00911C3F"/>
    <w:rsid w:val="00913B69"/>
    <w:rsid w:val="00915C92"/>
    <w:rsid w:val="00917547"/>
    <w:rsid w:val="0092151E"/>
    <w:rsid w:val="0092237D"/>
    <w:rsid w:val="0092246F"/>
    <w:rsid w:val="00922659"/>
    <w:rsid w:val="00923808"/>
    <w:rsid w:val="00923FB3"/>
    <w:rsid w:val="00924EB7"/>
    <w:rsid w:val="0092521C"/>
    <w:rsid w:val="0092668A"/>
    <w:rsid w:val="00931EB4"/>
    <w:rsid w:val="009337C4"/>
    <w:rsid w:val="00935E9C"/>
    <w:rsid w:val="00935FF5"/>
    <w:rsid w:val="009363F1"/>
    <w:rsid w:val="00941D31"/>
    <w:rsid w:val="009423C5"/>
    <w:rsid w:val="00943583"/>
    <w:rsid w:val="00943641"/>
    <w:rsid w:val="00943B75"/>
    <w:rsid w:val="00946877"/>
    <w:rsid w:val="00950553"/>
    <w:rsid w:val="009505F6"/>
    <w:rsid w:val="00950CE8"/>
    <w:rsid w:val="00950FA5"/>
    <w:rsid w:val="00951C30"/>
    <w:rsid w:val="00953F6B"/>
    <w:rsid w:val="009569AA"/>
    <w:rsid w:val="009600E3"/>
    <w:rsid w:val="00960335"/>
    <w:rsid w:val="00961693"/>
    <w:rsid w:val="00963638"/>
    <w:rsid w:val="009645CB"/>
    <w:rsid w:val="00964BFA"/>
    <w:rsid w:val="0096527F"/>
    <w:rsid w:val="009653D9"/>
    <w:rsid w:val="00967801"/>
    <w:rsid w:val="00967E66"/>
    <w:rsid w:val="00971BA2"/>
    <w:rsid w:val="00972439"/>
    <w:rsid w:val="0097281F"/>
    <w:rsid w:val="00972B88"/>
    <w:rsid w:val="009739E0"/>
    <w:rsid w:val="00974A40"/>
    <w:rsid w:val="009752AB"/>
    <w:rsid w:val="00977179"/>
    <w:rsid w:val="009800A0"/>
    <w:rsid w:val="0098168E"/>
    <w:rsid w:val="00982128"/>
    <w:rsid w:val="0098270F"/>
    <w:rsid w:val="00982919"/>
    <w:rsid w:val="00984765"/>
    <w:rsid w:val="0098483D"/>
    <w:rsid w:val="009856E2"/>
    <w:rsid w:val="00986B38"/>
    <w:rsid w:val="00990EAF"/>
    <w:rsid w:val="009918B7"/>
    <w:rsid w:val="00992432"/>
    <w:rsid w:val="00992A2B"/>
    <w:rsid w:val="00994445"/>
    <w:rsid w:val="0099696F"/>
    <w:rsid w:val="00996F6F"/>
    <w:rsid w:val="009A016D"/>
    <w:rsid w:val="009A0D5E"/>
    <w:rsid w:val="009A0E17"/>
    <w:rsid w:val="009A1622"/>
    <w:rsid w:val="009A24F5"/>
    <w:rsid w:val="009A370D"/>
    <w:rsid w:val="009A4783"/>
    <w:rsid w:val="009A52D0"/>
    <w:rsid w:val="009A5903"/>
    <w:rsid w:val="009A5FBE"/>
    <w:rsid w:val="009A6251"/>
    <w:rsid w:val="009A7E78"/>
    <w:rsid w:val="009B0022"/>
    <w:rsid w:val="009B00DC"/>
    <w:rsid w:val="009B123D"/>
    <w:rsid w:val="009B385E"/>
    <w:rsid w:val="009B4961"/>
    <w:rsid w:val="009B49A7"/>
    <w:rsid w:val="009B4B20"/>
    <w:rsid w:val="009B4EAE"/>
    <w:rsid w:val="009B57EE"/>
    <w:rsid w:val="009B6502"/>
    <w:rsid w:val="009B737F"/>
    <w:rsid w:val="009B7B3C"/>
    <w:rsid w:val="009B7EBE"/>
    <w:rsid w:val="009C1121"/>
    <w:rsid w:val="009C1612"/>
    <w:rsid w:val="009C1D72"/>
    <w:rsid w:val="009C26ED"/>
    <w:rsid w:val="009C2DD3"/>
    <w:rsid w:val="009C3251"/>
    <w:rsid w:val="009C341F"/>
    <w:rsid w:val="009C4B11"/>
    <w:rsid w:val="009D06F8"/>
    <w:rsid w:val="009D1012"/>
    <w:rsid w:val="009D2198"/>
    <w:rsid w:val="009D29F0"/>
    <w:rsid w:val="009D3E74"/>
    <w:rsid w:val="009D6C0D"/>
    <w:rsid w:val="009E13E7"/>
    <w:rsid w:val="009E4547"/>
    <w:rsid w:val="009E64B0"/>
    <w:rsid w:val="009E7388"/>
    <w:rsid w:val="009F0F99"/>
    <w:rsid w:val="009F12B6"/>
    <w:rsid w:val="009F185F"/>
    <w:rsid w:val="009F2368"/>
    <w:rsid w:val="009F2B53"/>
    <w:rsid w:val="009F2FD3"/>
    <w:rsid w:val="009F3262"/>
    <w:rsid w:val="009F41B4"/>
    <w:rsid w:val="009F62EB"/>
    <w:rsid w:val="009F68E2"/>
    <w:rsid w:val="00A005B6"/>
    <w:rsid w:val="00A00BAB"/>
    <w:rsid w:val="00A02918"/>
    <w:rsid w:val="00A037FE"/>
    <w:rsid w:val="00A039E7"/>
    <w:rsid w:val="00A048AB"/>
    <w:rsid w:val="00A04CDD"/>
    <w:rsid w:val="00A0757A"/>
    <w:rsid w:val="00A07ABD"/>
    <w:rsid w:val="00A1057C"/>
    <w:rsid w:val="00A106CA"/>
    <w:rsid w:val="00A11B8C"/>
    <w:rsid w:val="00A1255D"/>
    <w:rsid w:val="00A14835"/>
    <w:rsid w:val="00A22595"/>
    <w:rsid w:val="00A230A7"/>
    <w:rsid w:val="00A25DDD"/>
    <w:rsid w:val="00A304A6"/>
    <w:rsid w:val="00A31D89"/>
    <w:rsid w:val="00A32F59"/>
    <w:rsid w:val="00A369A7"/>
    <w:rsid w:val="00A3744D"/>
    <w:rsid w:val="00A375D9"/>
    <w:rsid w:val="00A3775F"/>
    <w:rsid w:val="00A40066"/>
    <w:rsid w:val="00A4186A"/>
    <w:rsid w:val="00A41E0C"/>
    <w:rsid w:val="00A43CEE"/>
    <w:rsid w:val="00A4632F"/>
    <w:rsid w:val="00A46760"/>
    <w:rsid w:val="00A4694B"/>
    <w:rsid w:val="00A47E8C"/>
    <w:rsid w:val="00A507A8"/>
    <w:rsid w:val="00A5091D"/>
    <w:rsid w:val="00A51B44"/>
    <w:rsid w:val="00A52034"/>
    <w:rsid w:val="00A522F6"/>
    <w:rsid w:val="00A52690"/>
    <w:rsid w:val="00A52952"/>
    <w:rsid w:val="00A52ADD"/>
    <w:rsid w:val="00A52EB6"/>
    <w:rsid w:val="00A53192"/>
    <w:rsid w:val="00A5332D"/>
    <w:rsid w:val="00A5356A"/>
    <w:rsid w:val="00A53D3B"/>
    <w:rsid w:val="00A5428A"/>
    <w:rsid w:val="00A5498C"/>
    <w:rsid w:val="00A54CB3"/>
    <w:rsid w:val="00A5543B"/>
    <w:rsid w:val="00A55534"/>
    <w:rsid w:val="00A55ED9"/>
    <w:rsid w:val="00A564A0"/>
    <w:rsid w:val="00A56BAE"/>
    <w:rsid w:val="00A60657"/>
    <w:rsid w:val="00A608E2"/>
    <w:rsid w:val="00A60A53"/>
    <w:rsid w:val="00A628BF"/>
    <w:rsid w:val="00A63913"/>
    <w:rsid w:val="00A65247"/>
    <w:rsid w:val="00A65A33"/>
    <w:rsid w:val="00A67D7A"/>
    <w:rsid w:val="00A70263"/>
    <w:rsid w:val="00A72055"/>
    <w:rsid w:val="00A73353"/>
    <w:rsid w:val="00A74A75"/>
    <w:rsid w:val="00A74E22"/>
    <w:rsid w:val="00A753D3"/>
    <w:rsid w:val="00A75D96"/>
    <w:rsid w:val="00A75E5E"/>
    <w:rsid w:val="00A7657D"/>
    <w:rsid w:val="00A80C1C"/>
    <w:rsid w:val="00A80F40"/>
    <w:rsid w:val="00A81245"/>
    <w:rsid w:val="00A817E5"/>
    <w:rsid w:val="00A83B39"/>
    <w:rsid w:val="00A84EB5"/>
    <w:rsid w:val="00A85829"/>
    <w:rsid w:val="00A86E23"/>
    <w:rsid w:val="00A87759"/>
    <w:rsid w:val="00A87B7F"/>
    <w:rsid w:val="00A91CF3"/>
    <w:rsid w:val="00A929EE"/>
    <w:rsid w:val="00A93392"/>
    <w:rsid w:val="00A950B7"/>
    <w:rsid w:val="00A9684C"/>
    <w:rsid w:val="00A968BD"/>
    <w:rsid w:val="00A97479"/>
    <w:rsid w:val="00A9794D"/>
    <w:rsid w:val="00A97C8F"/>
    <w:rsid w:val="00AA0313"/>
    <w:rsid w:val="00AA0C0A"/>
    <w:rsid w:val="00AA1122"/>
    <w:rsid w:val="00AA1601"/>
    <w:rsid w:val="00AA1F51"/>
    <w:rsid w:val="00AA354C"/>
    <w:rsid w:val="00AA4102"/>
    <w:rsid w:val="00AA694C"/>
    <w:rsid w:val="00AA698F"/>
    <w:rsid w:val="00AA730C"/>
    <w:rsid w:val="00AA74D2"/>
    <w:rsid w:val="00AB0BEA"/>
    <w:rsid w:val="00AB1687"/>
    <w:rsid w:val="00AB25E9"/>
    <w:rsid w:val="00AB4439"/>
    <w:rsid w:val="00AB443C"/>
    <w:rsid w:val="00AB6EC6"/>
    <w:rsid w:val="00AB767B"/>
    <w:rsid w:val="00AC092F"/>
    <w:rsid w:val="00AC2994"/>
    <w:rsid w:val="00AC310E"/>
    <w:rsid w:val="00AC36D6"/>
    <w:rsid w:val="00AC3B80"/>
    <w:rsid w:val="00AC40DD"/>
    <w:rsid w:val="00AC47C5"/>
    <w:rsid w:val="00AC4AB5"/>
    <w:rsid w:val="00AC59C4"/>
    <w:rsid w:val="00AC6AD5"/>
    <w:rsid w:val="00AD04B7"/>
    <w:rsid w:val="00AD0BDE"/>
    <w:rsid w:val="00AD1EFC"/>
    <w:rsid w:val="00AD2064"/>
    <w:rsid w:val="00AD2829"/>
    <w:rsid w:val="00AD28F1"/>
    <w:rsid w:val="00AD35E5"/>
    <w:rsid w:val="00AD441E"/>
    <w:rsid w:val="00AD5548"/>
    <w:rsid w:val="00AD59B4"/>
    <w:rsid w:val="00AE0F90"/>
    <w:rsid w:val="00AE1C22"/>
    <w:rsid w:val="00AE3419"/>
    <w:rsid w:val="00AE3481"/>
    <w:rsid w:val="00AE395B"/>
    <w:rsid w:val="00AE417B"/>
    <w:rsid w:val="00AE41B7"/>
    <w:rsid w:val="00AE55B0"/>
    <w:rsid w:val="00AE6BEC"/>
    <w:rsid w:val="00AF0087"/>
    <w:rsid w:val="00AF1BC9"/>
    <w:rsid w:val="00AF3809"/>
    <w:rsid w:val="00AF42AB"/>
    <w:rsid w:val="00AF4B9B"/>
    <w:rsid w:val="00AF5446"/>
    <w:rsid w:val="00AF69F8"/>
    <w:rsid w:val="00AF6C8C"/>
    <w:rsid w:val="00B014AD"/>
    <w:rsid w:val="00B039AE"/>
    <w:rsid w:val="00B0558D"/>
    <w:rsid w:val="00B10A66"/>
    <w:rsid w:val="00B12D7D"/>
    <w:rsid w:val="00B13E6A"/>
    <w:rsid w:val="00B143E7"/>
    <w:rsid w:val="00B167AE"/>
    <w:rsid w:val="00B16CC5"/>
    <w:rsid w:val="00B173FF"/>
    <w:rsid w:val="00B17E0D"/>
    <w:rsid w:val="00B21103"/>
    <w:rsid w:val="00B2198B"/>
    <w:rsid w:val="00B22F9E"/>
    <w:rsid w:val="00B25D40"/>
    <w:rsid w:val="00B26368"/>
    <w:rsid w:val="00B30586"/>
    <w:rsid w:val="00B30E2C"/>
    <w:rsid w:val="00B3256A"/>
    <w:rsid w:val="00B32CD5"/>
    <w:rsid w:val="00B334F9"/>
    <w:rsid w:val="00B33E3A"/>
    <w:rsid w:val="00B34DBE"/>
    <w:rsid w:val="00B351A4"/>
    <w:rsid w:val="00B361E4"/>
    <w:rsid w:val="00B363C8"/>
    <w:rsid w:val="00B4067E"/>
    <w:rsid w:val="00B40B4C"/>
    <w:rsid w:val="00B45135"/>
    <w:rsid w:val="00B46206"/>
    <w:rsid w:val="00B465A1"/>
    <w:rsid w:val="00B506E2"/>
    <w:rsid w:val="00B50BC7"/>
    <w:rsid w:val="00B51C84"/>
    <w:rsid w:val="00B521EB"/>
    <w:rsid w:val="00B54934"/>
    <w:rsid w:val="00B55255"/>
    <w:rsid w:val="00B55755"/>
    <w:rsid w:val="00B55B3D"/>
    <w:rsid w:val="00B55B91"/>
    <w:rsid w:val="00B55E89"/>
    <w:rsid w:val="00B57FBB"/>
    <w:rsid w:val="00B62F1C"/>
    <w:rsid w:val="00B6338B"/>
    <w:rsid w:val="00B6354F"/>
    <w:rsid w:val="00B64B26"/>
    <w:rsid w:val="00B64E5C"/>
    <w:rsid w:val="00B659A9"/>
    <w:rsid w:val="00B70CFB"/>
    <w:rsid w:val="00B710C0"/>
    <w:rsid w:val="00B72EC5"/>
    <w:rsid w:val="00B73360"/>
    <w:rsid w:val="00B736F6"/>
    <w:rsid w:val="00B75385"/>
    <w:rsid w:val="00B75C16"/>
    <w:rsid w:val="00B804BF"/>
    <w:rsid w:val="00B808F9"/>
    <w:rsid w:val="00B81B7E"/>
    <w:rsid w:val="00B82477"/>
    <w:rsid w:val="00B83B81"/>
    <w:rsid w:val="00B84EE6"/>
    <w:rsid w:val="00B8501D"/>
    <w:rsid w:val="00B854E4"/>
    <w:rsid w:val="00B85E2B"/>
    <w:rsid w:val="00B860D5"/>
    <w:rsid w:val="00B879BC"/>
    <w:rsid w:val="00B87B29"/>
    <w:rsid w:val="00B87F83"/>
    <w:rsid w:val="00B87FCA"/>
    <w:rsid w:val="00B90084"/>
    <w:rsid w:val="00B9019D"/>
    <w:rsid w:val="00B91249"/>
    <w:rsid w:val="00B912AA"/>
    <w:rsid w:val="00B92832"/>
    <w:rsid w:val="00B959C1"/>
    <w:rsid w:val="00B97BC9"/>
    <w:rsid w:val="00B97C66"/>
    <w:rsid w:val="00B97D24"/>
    <w:rsid w:val="00BA5389"/>
    <w:rsid w:val="00BA585B"/>
    <w:rsid w:val="00BA6012"/>
    <w:rsid w:val="00BA7F65"/>
    <w:rsid w:val="00BB1050"/>
    <w:rsid w:val="00BB1C6B"/>
    <w:rsid w:val="00BB1D6C"/>
    <w:rsid w:val="00BB2300"/>
    <w:rsid w:val="00BB33DE"/>
    <w:rsid w:val="00BB3607"/>
    <w:rsid w:val="00BB4C77"/>
    <w:rsid w:val="00BB69E9"/>
    <w:rsid w:val="00BC0F62"/>
    <w:rsid w:val="00BC3A9E"/>
    <w:rsid w:val="00BC5341"/>
    <w:rsid w:val="00BC6768"/>
    <w:rsid w:val="00BC6D10"/>
    <w:rsid w:val="00BC7A96"/>
    <w:rsid w:val="00BC7BB2"/>
    <w:rsid w:val="00BD025A"/>
    <w:rsid w:val="00BD06AB"/>
    <w:rsid w:val="00BD0D6F"/>
    <w:rsid w:val="00BD107F"/>
    <w:rsid w:val="00BD1BBA"/>
    <w:rsid w:val="00BD53B5"/>
    <w:rsid w:val="00BD5C51"/>
    <w:rsid w:val="00BE061E"/>
    <w:rsid w:val="00BE1146"/>
    <w:rsid w:val="00BE36C3"/>
    <w:rsid w:val="00BE3A04"/>
    <w:rsid w:val="00BE5B33"/>
    <w:rsid w:val="00BE5EF3"/>
    <w:rsid w:val="00BE6464"/>
    <w:rsid w:val="00BE6BEA"/>
    <w:rsid w:val="00BE72F1"/>
    <w:rsid w:val="00BE76C4"/>
    <w:rsid w:val="00BF029A"/>
    <w:rsid w:val="00BF1A77"/>
    <w:rsid w:val="00BF2044"/>
    <w:rsid w:val="00BF20E0"/>
    <w:rsid w:val="00BF2508"/>
    <w:rsid w:val="00BF319B"/>
    <w:rsid w:val="00BF4249"/>
    <w:rsid w:val="00BF472A"/>
    <w:rsid w:val="00BF5FB2"/>
    <w:rsid w:val="00BF6828"/>
    <w:rsid w:val="00C0333E"/>
    <w:rsid w:val="00C0358F"/>
    <w:rsid w:val="00C03A1C"/>
    <w:rsid w:val="00C03E6A"/>
    <w:rsid w:val="00C0663E"/>
    <w:rsid w:val="00C06C57"/>
    <w:rsid w:val="00C07272"/>
    <w:rsid w:val="00C07869"/>
    <w:rsid w:val="00C11EF2"/>
    <w:rsid w:val="00C12C90"/>
    <w:rsid w:val="00C145CF"/>
    <w:rsid w:val="00C1524A"/>
    <w:rsid w:val="00C16C22"/>
    <w:rsid w:val="00C16D4D"/>
    <w:rsid w:val="00C17689"/>
    <w:rsid w:val="00C17C45"/>
    <w:rsid w:val="00C20904"/>
    <w:rsid w:val="00C21042"/>
    <w:rsid w:val="00C21256"/>
    <w:rsid w:val="00C24CA9"/>
    <w:rsid w:val="00C26042"/>
    <w:rsid w:val="00C26675"/>
    <w:rsid w:val="00C271F4"/>
    <w:rsid w:val="00C277B9"/>
    <w:rsid w:val="00C3014A"/>
    <w:rsid w:val="00C30362"/>
    <w:rsid w:val="00C30D39"/>
    <w:rsid w:val="00C31643"/>
    <w:rsid w:val="00C3215D"/>
    <w:rsid w:val="00C324C4"/>
    <w:rsid w:val="00C3289D"/>
    <w:rsid w:val="00C349F1"/>
    <w:rsid w:val="00C375EE"/>
    <w:rsid w:val="00C37B0E"/>
    <w:rsid w:val="00C418AF"/>
    <w:rsid w:val="00C41B90"/>
    <w:rsid w:val="00C41BC9"/>
    <w:rsid w:val="00C51087"/>
    <w:rsid w:val="00C512A2"/>
    <w:rsid w:val="00C513B2"/>
    <w:rsid w:val="00C52473"/>
    <w:rsid w:val="00C546C1"/>
    <w:rsid w:val="00C60543"/>
    <w:rsid w:val="00C62673"/>
    <w:rsid w:val="00C6401B"/>
    <w:rsid w:val="00C64A37"/>
    <w:rsid w:val="00C65C14"/>
    <w:rsid w:val="00C670A8"/>
    <w:rsid w:val="00C67281"/>
    <w:rsid w:val="00C67A34"/>
    <w:rsid w:val="00C67EF5"/>
    <w:rsid w:val="00C71328"/>
    <w:rsid w:val="00C71913"/>
    <w:rsid w:val="00C721B6"/>
    <w:rsid w:val="00C72DC2"/>
    <w:rsid w:val="00C74BFF"/>
    <w:rsid w:val="00C75AEC"/>
    <w:rsid w:val="00C77105"/>
    <w:rsid w:val="00C77285"/>
    <w:rsid w:val="00C800D4"/>
    <w:rsid w:val="00C81377"/>
    <w:rsid w:val="00C82352"/>
    <w:rsid w:val="00C824C5"/>
    <w:rsid w:val="00C87C0D"/>
    <w:rsid w:val="00C9065F"/>
    <w:rsid w:val="00C90DFB"/>
    <w:rsid w:val="00C91D01"/>
    <w:rsid w:val="00C93AA3"/>
    <w:rsid w:val="00C95F9F"/>
    <w:rsid w:val="00C96024"/>
    <w:rsid w:val="00C96C0E"/>
    <w:rsid w:val="00CA16CA"/>
    <w:rsid w:val="00CA17DD"/>
    <w:rsid w:val="00CA1A56"/>
    <w:rsid w:val="00CA1FB5"/>
    <w:rsid w:val="00CA2A1D"/>
    <w:rsid w:val="00CA46BF"/>
    <w:rsid w:val="00CA4AB7"/>
    <w:rsid w:val="00CA505F"/>
    <w:rsid w:val="00CA6BFE"/>
    <w:rsid w:val="00CA7231"/>
    <w:rsid w:val="00CA76B4"/>
    <w:rsid w:val="00CA78C2"/>
    <w:rsid w:val="00CB1969"/>
    <w:rsid w:val="00CB1AF2"/>
    <w:rsid w:val="00CB2111"/>
    <w:rsid w:val="00CB22F0"/>
    <w:rsid w:val="00CB3F66"/>
    <w:rsid w:val="00CB46C6"/>
    <w:rsid w:val="00CB7A0E"/>
    <w:rsid w:val="00CC1274"/>
    <w:rsid w:val="00CC1362"/>
    <w:rsid w:val="00CC3DFE"/>
    <w:rsid w:val="00CC796C"/>
    <w:rsid w:val="00CD0A16"/>
    <w:rsid w:val="00CD1FCC"/>
    <w:rsid w:val="00CD333B"/>
    <w:rsid w:val="00CD4970"/>
    <w:rsid w:val="00CD5D12"/>
    <w:rsid w:val="00CE04E1"/>
    <w:rsid w:val="00CE0951"/>
    <w:rsid w:val="00CE0B59"/>
    <w:rsid w:val="00CE0C55"/>
    <w:rsid w:val="00CE0C76"/>
    <w:rsid w:val="00CE246D"/>
    <w:rsid w:val="00CE39B5"/>
    <w:rsid w:val="00CE506A"/>
    <w:rsid w:val="00CE5D2B"/>
    <w:rsid w:val="00CF1550"/>
    <w:rsid w:val="00CF16A3"/>
    <w:rsid w:val="00CF550B"/>
    <w:rsid w:val="00CF5BF3"/>
    <w:rsid w:val="00CF5F5A"/>
    <w:rsid w:val="00CF600C"/>
    <w:rsid w:val="00CF614A"/>
    <w:rsid w:val="00CF7CF5"/>
    <w:rsid w:val="00CF7D69"/>
    <w:rsid w:val="00D01A18"/>
    <w:rsid w:val="00D01C8F"/>
    <w:rsid w:val="00D0220B"/>
    <w:rsid w:val="00D11353"/>
    <w:rsid w:val="00D11410"/>
    <w:rsid w:val="00D11821"/>
    <w:rsid w:val="00D11D6D"/>
    <w:rsid w:val="00D13301"/>
    <w:rsid w:val="00D149BC"/>
    <w:rsid w:val="00D15551"/>
    <w:rsid w:val="00D15A4B"/>
    <w:rsid w:val="00D16681"/>
    <w:rsid w:val="00D23046"/>
    <w:rsid w:val="00D2474D"/>
    <w:rsid w:val="00D24BD2"/>
    <w:rsid w:val="00D27E04"/>
    <w:rsid w:val="00D32EDE"/>
    <w:rsid w:val="00D34410"/>
    <w:rsid w:val="00D347D4"/>
    <w:rsid w:val="00D35BA0"/>
    <w:rsid w:val="00D36011"/>
    <w:rsid w:val="00D369A1"/>
    <w:rsid w:val="00D370C4"/>
    <w:rsid w:val="00D37B3F"/>
    <w:rsid w:val="00D401E4"/>
    <w:rsid w:val="00D4267A"/>
    <w:rsid w:val="00D42C9A"/>
    <w:rsid w:val="00D43D77"/>
    <w:rsid w:val="00D44F9C"/>
    <w:rsid w:val="00D45C10"/>
    <w:rsid w:val="00D46F01"/>
    <w:rsid w:val="00D47A50"/>
    <w:rsid w:val="00D504DC"/>
    <w:rsid w:val="00D518DA"/>
    <w:rsid w:val="00D52732"/>
    <w:rsid w:val="00D55116"/>
    <w:rsid w:val="00D55653"/>
    <w:rsid w:val="00D55E61"/>
    <w:rsid w:val="00D56696"/>
    <w:rsid w:val="00D60325"/>
    <w:rsid w:val="00D62922"/>
    <w:rsid w:val="00D647C6"/>
    <w:rsid w:val="00D64A2A"/>
    <w:rsid w:val="00D6522B"/>
    <w:rsid w:val="00D66252"/>
    <w:rsid w:val="00D66E8E"/>
    <w:rsid w:val="00D70A86"/>
    <w:rsid w:val="00D7287D"/>
    <w:rsid w:val="00D7338B"/>
    <w:rsid w:val="00D7359F"/>
    <w:rsid w:val="00D7574B"/>
    <w:rsid w:val="00D76B36"/>
    <w:rsid w:val="00D77B73"/>
    <w:rsid w:val="00D77E1C"/>
    <w:rsid w:val="00D8038E"/>
    <w:rsid w:val="00D81220"/>
    <w:rsid w:val="00D835C9"/>
    <w:rsid w:val="00D83C1C"/>
    <w:rsid w:val="00D83CF7"/>
    <w:rsid w:val="00D84A30"/>
    <w:rsid w:val="00D85A04"/>
    <w:rsid w:val="00D85BE9"/>
    <w:rsid w:val="00D86661"/>
    <w:rsid w:val="00D86A3E"/>
    <w:rsid w:val="00D90A5D"/>
    <w:rsid w:val="00D92EDF"/>
    <w:rsid w:val="00D94A21"/>
    <w:rsid w:val="00D95ADF"/>
    <w:rsid w:val="00D963CD"/>
    <w:rsid w:val="00D97361"/>
    <w:rsid w:val="00DA2854"/>
    <w:rsid w:val="00DA6758"/>
    <w:rsid w:val="00DA692C"/>
    <w:rsid w:val="00DB014B"/>
    <w:rsid w:val="00DB0D27"/>
    <w:rsid w:val="00DB0DD9"/>
    <w:rsid w:val="00DB35E3"/>
    <w:rsid w:val="00DB4244"/>
    <w:rsid w:val="00DB4C58"/>
    <w:rsid w:val="00DB5888"/>
    <w:rsid w:val="00DB60A1"/>
    <w:rsid w:val="00DB7043"/>
    <w:rsid w:val="00DB70D0"/>
    <w:rsid w:val="00DB7864"/>
    <w:rsid w:val="00DC0A98"/>
    <w:rsid w:val="00DC1B00"/>
    <w:rsid w:val="00DC241F"/>
    <w:rsid w:val="00DC3C82"/>
    <w:rsid w:val="00DC4324"/>
    <w:rsid w:val="00DC517B"/>
    <w:rsid w:val="00DC5914"/>
    <w:rsid w:val="00DC5984"/>
    <w:rsid w:val="00DC5CE7"/>
    <w:rsid w:val="00DD0D9C"/>
    <w:rsid w:val="00DD1450"/>
    <w:rsid w:val="00DD186B"/>
    <w:rsid w:val="00DD2366"/>
    <w:rsid w:val="00DD3B7C"/>
    <w:rsid w:val="00DD4524"/>
    <w:rsid w:val="00DD4F83"/>
    <w:rsid w:val="00DD7FC4"/>
    <w:rsid w:val="00DE0738"/>
    <w:rsid w:val="00DE550A"/>
    <w:rsid w:val="00DE738E"/>
    <w:rsid w:val="00DE74E9"/>
    <w:rsid w:val="00DF0EC8"/>
    <w:rsid w:val="00DF1788"/>
    <w:rsid w:val="00DF21B4"/>
    <w:rsid w:val="00DF32F8"/>
    <w:rsid w:val="00DF3541"/>
    <w:rsid w:val="00DF3E38"/>
    <w:rsid w:val="00DF51D1"/>
    <w:rsid w:val="00DF6C70"/>
    <w:rsid w:val="00DF78D7"/>
    <w:rsid w:val="00DF7CB6"/>
    <w:rsid w:val="00E00D1B"/>
    <w:rsid w:val="00E01421"/>
    <w:rsid w:val="00E02238"/>
    <w:rsid w:val="00E02782"/>
    <w:rsid w:val="00E02983"/>
    <w:rsid w:val="00E050C2"/>
    <w:rsid w:val="00E0511D"/>
    <w:rsid w:val="00E05489"/>
    <w:rsid w:val="00E05FA2"/>
    <w:rsid w:val="00E07DD1"/>
    <w:rsid w:val="00E104AC"/>
    <w:rsid w:val="00E12A37"/>
    <w:rsid w:val="00E1308C"/>
    <w:rsid w:val="00E1354D"/>
    <w:rsid w:val="00E15F03"/>
    <w:rsid w:val="00E21197"/>
    <w:rsid w:val="00E224C4"/>
    <w:rsid w:val="00E226B8"/>
    <w:rsid w:val="00E242D1"/>
    <w:rsid w:val="00E25A48"/>
    <w:rsid w:val="00E26119"/>
    <w:rsid w:val="00E3122E"/>
    <w:rsid w:val="00E31D0A"/>
    <w:rsid w:val="00E34342"/>
    <w:rsid w:val="00E35386"/>
    <w:rsid w:val="00E36F5F"/>
    <w:rsid w:val="00E41F15"/>
    <w:rsid w:val="00E42729"/>
    <w:rsid w:val="00E4281E"/>
    <w:rsid w:val="00E452B1"/>
    <w:rsid w:val="00E474A0"/>
    <w:rsid w:val="00E524C4"/>
    <w:rsid w:val="00E52FC0"/>
    <w:rsid w:val="00E5351B"/>
    <w:rsid w:val="00E53F91"/>
    <w:rsid w:val="00E5431C"/>
    <w:rsid w:val="00E550A5"/>
    <w:rsid w:val="00E573D0"/>
    <w:rsid w:val="00E57864"/>
    <w:rsid w:val="00E61B17"/>
    <w:rsid w:val="00E61B83"/>
    <w:rsid w:val="00E622E6"/>
    <w:rsid w:val="00E6563A"/>
    <w:rsid w:val="00E657D0"/>
    <w:rsid w:val="00E66E39"/>
    <w:rsid w:val="00E7020B"/>
    <w:rsid w:val="00E723A8"/>
    <w:rsid w:val="00E72671"/>
    <w:rsid w:val="00E7376F"/>
    <w:rsid w:val="00E74BE8"/>
    <w:rsid w:val="00E769C8"/>
    <w:rsid w:val="00E77E88"/>
    <w:rsid w:val="00E8033A"/>
    <w:rsid w:val="00E80B8C"/>
    <w:rsid w:val="00E81075"/>
    <w:rsid w:val="00E82CF2"/>
    <w:rsid w:val="00E835F5"/>
    <w:rsid w:val="00E8707F"/>
    <w:rsid w:val="00E90A1B"/>
    <w:rsid w:val="00E91831"/>
    <w:rsid w:val="00E92290"/>
    <w:rsid w:val="00E934B5"/>
    <w:rsid w:val="00E956A7"/>
    <w:rsid w:val="00E9598D"/>
    <w:rsid w:val="00E97700"/>
    <w:rsid w:val="00EA0DC1"/>
    <w:rsid w:val="00EA1770"/>
    <w:rsid w:val="00EA228B"/>
    <w:rsid w:val="00EA2D99"/>
    <w:rsid w:val="00EA337B"/>
    <w:rsid w:val="00EA444C"/>
    <w:rsid w:val="00EA7C08"/>
    <w:rsid w:val="00EB05FD"/>
    <w:rsid w:val="00EB4648"/>
    <w:rsid w:val="00EB4694"/>
    <w:rsid w:val="00EB469C"/>
    <w:rsid w:val="00EB6607"/>
    <w:rsid w:val="00EB6E02"/>
    <w:rsid w:val="00EB6EF3"/>
    <w:rsid w:val="00EC22E8"/>
    <w:rsid w:val="00EC45BD"/>
    <w:rsid w:val="00EC5601"/>
    <w:rsid w:val="00EC585D"/>
    <w:rsid w:val="00EC5C88"/>
    <w:rsid w:val="00EC6277"/>
    <w:rsid w:val="00EC696C"/>
    <w:rsid w:val="00EC6F16"/>
    <w:rsid w:val="00ED1310"/>
    <w:rsid w:val="00ED1346"/>
    <w:rsid w:val="00ED143F"/>
    <w:rsid w:val="00ED396D"/>
    <w:rsid w:val="00ED492D"/>
    <w:rsid w:val="00ED5593"/>
    <w:rsid w:val="00ED61C6"/>
    <w:rsid w:val="00ED67B1"/>
    <w:rsid w:val="00ED78CA"/>
    <w:rsid w:val="00ED7CB5"/>
    <w:rsid w:val="00ED7D07"/>
    <w:rsid w:val="00EE074E"/>
    <w:rsid w:val="00EE1E3E"/>
    <w:rsid w:val="00EE3363"/>
    <w:rsid w:val="00EE443B"/>
    <w:rsid w:val="00EE4965"/>
    <w:rsid w:val="00EE5B69"/>
    <w:rsid w:val="00EF1A27"/>
    <w:rsid w:val="00EF1F57"/>
    <w:rsid w:val="00EF25DD"/>
    <w:rsid w:val="00EF2F74"/>
    <w:rsid w:val="00EF3555"/>
    <w:rsid w:val="00EF3BB1"/>
    <w:rsid w:val="00EF436B"/>
    <w:rsid w:val="00EF4573"/>
    <w:rsid w:val="00EF72CB"/>
    <w:rsid w:val="00EF77A5"/>
    <w:rsid w:val="00F005C9"/>
    <w:rsid w:val="00F011F7"/>
    <w:rsid w:val="00F027AB"/>
    <w:rsid w:val="00F028EE"/>
    <w:rsid w:val="00F03603"/>
    <w:rsid w:val="00F040F8"/>
    <w:rsid w:val="00F0523D"/>
    <w:rsid w:val="00F05400"/>
    <w:rsid w:val="00F054CB"/>
    <w:rsid w:val="00F0670F"/>
    <w:rsid w:val="00F06CCF"/>
    <w:rsid w:val="00F07C68"/>
    <w:rsid w:val="00F07F93"/>
    <w:rsid w:val="00F1122F"/>
    <w:rsid w:val="00F118CB"/>
    <w:rsid w:val="00F12715"/>
    <w:rsid w:val="00F13C9F"/>
    <w:rsid w:val="00F16122"/>
    <w:rsid w:val="00F16DAF"/>
    <w:rsid w:val="00F17A1B"/>
    <w:rsid w:val="00F17E17"/>
    <w:rsid w:val="00F223A1"/>
    <w:rsid w:val="00F23DE5"/>
    <w:rsid w:val="00F2454A"/>
    <w:rsid w:val="00F26986"/>
    <w:rsid w:val="00F27625"/>
    <w:rsid w:val="00F305E2"/>
    <w:rsid w:val="00F31249"/>
    <w:rsid w:val="00F33C9B"/>
    <w:rsid w:val="00F354BD"/>
    <w:rsid w:val="00F354E7"/>
    <w:rsid w:val="00F358CE"/>
    <w:rsid w:val="00F36F43"/>
    <w:rsid w:val="00F40489"/>
    <w:rsid w:val="00F40DD1"/>
    <w:rsid w:val="00F42AFC"/>
    <w:rsid w:val="00F42CA0"/>
    <w:rsid w:val="00F439FA"/>
    <w:rsid w:val="00F44CFE"/>
    <w:rsid w:val="00F44E1B"/>
    <w:rsid w:val="00F450A4"/>
    <w:rsid w:val="00F457AD"/>
    <w:rsid w:val="00F45E84"/>
    <w:rsid w:val="00F47453"/>
    <w:rsid w:val="00F47A8C"/>
    <w:rsid w:val="00F47DFB"/>
    <w:rsid w:val="00F50C77"/>
    <w:rsid w:val="00F50E5C"/>
    <w:rsid w:val="00F50F83"/>
    <w:rsid w:val="00F51D59"/>
    <w:rsid w:val="00F5217D"/>
    <w:rsid w:val="00F528E9"/>
    <w:rsid w:val="00F52A9D"/>
    <w:rsid w:val="00F534E1"/>
    <w:rsid w:val="00F538B2"/>
    <w:rsid w:val="00F55324"/>
    <w:rsid w:val="00F55987"/>
    <w:rsid w:val="00F55F42"/>
    <w:rsid w:val="00F5756C"/>
    <w:rsid w:val="00F60CC5"/>
    <w:rsid w:val="00F612AA"/>
    <w:rsid w:val="00F61FD5"/>
    <w:rsid w:val="00F66326"/>
    <w:rsid w:val="00F66EC8"/>
    <w:rsid w:val="00F66F62"/>
    <w:rsid w:val="00F67AA2"/>
    <w:rsid w:val="00F702DE"/>
    <w:rsid w:val="00F71317"/>
    <w:rsid w:val="00F73B22"/>
    <w:rsid w:val="00F765E8"/>
    <w:rsid w:val="00F771B7"/>
    <w:rsid w:val="00F7786E"/>
    <w:rsid w:val="00F80010"/>
    <w:rsid w:val="00F805EA"/>
    <w:rsid w:val="00F81B09"/>
    <w:rsid w:val="00F83675"/>
    <w:rsid w:val="00F8373F"/>
    <w:rsid w:val="00F84AAF"/>
    <w:rsid w:val="00F85595"/>
    <w:rsid w:val="00F86060"/>
    <w:rsid w:val="00F864A8"/>
    <w:rsid w:val="00F872CC"/>
    <w:rsid w:val="00F87B13"/>
    <w:rsid w:val="00F908EA"/>
    <w:rsid w:val="00F90CDC"/>
    <w:rsid w:val="00F91195"/>
    <w:rsid w:val="00F916FD"/>
    <w:rsid w:val="00F91FF0"/>
    <w:rsid w:val="00F92666"/>
    <w:rsid w:val="00F92FF9"/>
    <w:rsid w:val="00F94EBB"/>
    <w:rsid w:val="00F95389"/>
    <w:rsid w:val="00F9574F"/>
    <w:rsid w:val="00F9642D"/>
    <w:rsid w:val="00F971B1"/>
    <w:rsid w:val="00F973A8"/>
    <w:rsid w:val="00FA27C1"/>
    <w:rsid w:val="00FA335D"/>
    <w:rsid w:val="00FA60B4"/>
    <w:rsid w:val="00FA72B1"/>
    <w:rsid w:val="00FB0073"/>
    <w:rsid w:val="00FB1D8F"/>
    <w:rsid w:val="00FB2E03"/>
    <w:rsid w:val="00FB3711"/>
    <w:rsid w:val="00FB4A66"/>
    <w:rsid w:val="00FB4D26"/>
    <w:rsid w:val="00FB4F2C"/>
    <w:rsid w:val="00FC0B84"/>
    <w:rsid w:val="00FC0E46"/>
    <w:rsid w:val="00FC1341"/>
    <w:rsid w:val="00FC2127"/>
    <w:rsid w:val="00FC2598"/>
    <w:rsid w:val="00FC324C"/>
    <w:rsid w:val="00FC370A"/>
    <w:rsid w:val="00FC4DE0"/>
    <w:rsid w:val="00FC5504"/>
    <w:rsid w:val="00FC5559"/>
    <w:rsid w:val="00FC5A36"/>
    <w:rsid w:val="00FC5E3F"/>
    <w:rsid w:val="00FC61FB"/>
    <w:rsid w:val="00FC6ED5"/>
    <w:rsid w:val="00FD01C1"/>
    <w:rsid w:val="00FD1358"/>
    <w:rsid w:val="00FD1978"/>
    <w:rsid w:val="00FD1FD9"/>
    <w:rsid w:val="00FD361B"/>
    <w:rsid w:val="00FD5709"/>
    <w:rsid w:val="00FD6213"/>
    <w:rsid w:val="00FD6E6D"/>
    <w:rsid w:val="00FD70FB"/>
    <w:rsid w:val="00FD721A"/>
    <w:rsid w:val="00FD7AE6"/>
    <w:rsid w:val="00FD7D9D"/>
    <w:rsid w:val="00FE0CEE"/>
    <w:rsid w:val="00FE0F40"/>
    <w:rsid w:val="00FE255B"/>
    <w:rsid w:val="00FE4DC1"/>
    <w:rsid w:val="00FE5441"/>
    <w:rsid w:val="00FE58A7"/>
    <w:rsid w:val="00FF0284"/>
    <w:rsid w:val="00FF080A"/>
    <w:rsid w:val="00FF16B0"/>
    <w:rsid w:val="00FF1A68"/>
    <w:rsid w:val="00FF1A8D"/>
    <w:rsid w:val="00FF1F55"/>
    <w:rsid w:val="00FF2819"/>
    <w:rsid w:val="00FF355E"/>
    <w:rsid w:val="00FF3E2B"/>
    <w:rsid w:val="00FF5AC8"/>
    <w:rsid w:val="00FF6B4B"/>
    <w:rsid w:val="00FF724C"/>
    <w:rsid w:val="00FF77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DB368"/>
  <w14:defaultImageDpi w14:val="32767"/>
  <w15:chartTrackingRefBased/>
  <w15:docId w15:val="{CB70AB70-EB8A-1947-8613-CB5DB71D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B33DE"/>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5A43C3"/>
  </w:style>
  <w:style w:type="character" w:styleId="Lienhypertexte">
    <w:name w:val="Hyperlink"/>
    <w:basedOn w:val="Policepardfaut"/>
    <w:uiPriority w:val="99"/>
    <w:unhideWhenUsed/>
    <w:rsid w:val="005A43C3"/>
    <w:rPr>
      <w:color w:val="0000FF"/>
      <w:u w:val="single"/>
    </w:rPr>
  </w:style>
  <w:style w:type="paragraph" w:styleId="Paragraphedeliste">
    <w:name w:val="List Paragraph"/>
    <w:basedOn w:val="Normal"/>
    <w:uiPriority w:val="34"/>
    <w:qFormat/>
    <w:rsid w:val="005A43C3"/>
    <w:pPr>
      <w:spacing w:before="100" w:beforeAutospacing="1" w:after="100" w:afterAutospacing="1"/>
    </w:pPr>
  </w:style>
  <w:style w:type="paragraph" w:styleId="NormalWeb">
    <w:name w:val="Normal (Web)"/>
    <w:basedOn w:val="Normal"/>
    <w:uiPriority w:val="99"/>
    <w:unhideWhenUsed/>
    <w:rsid w:val="005A43C3"/>
    <w:pPr>
      <w:spacing w:before="100" w:beforeAutospacing="1" w:after="100" w:afterAutospacing="1"/>
    </w:pPr>
  </w:style>
  <w:style w:type="paragraph" w:styleId="Textedebulles">
    <w:name w:val="Balloon Text"/>
    <w:basedOn w:val="Normal"/>
    <w:link w:val="TextedebullesCar"/>
    <w:uiPriority w:val="99"/>
    <w:semiHidden/>
    <w:unhideWhenUsed/>
    <w:rsid w:val="002F1388"/>
    <w:rPr>
      <w:rFonts w:eastAsiaTheme="minorHAnsi"/>
      <w:sz w:val="18"/>
      <w:szCs w:val="18"/>
      <w:lang w:eastAsia="en-US"/>
    </w:rPr>
  </w:style>
  <w:style w:type="character" w:customStyle="1" w:styleId="TextedebullesCar">
    <w:name w:val="Texte de bulles Car"/>
    <w:basedOn w:val="Policepardfaut"/>
    <w:link w:val="Textedebulles"/>
    <w:uiPriority w:val="99"/>
    <w:semiHidden/>
    <w:rsid w:val="002F1388"/>
    <w:rPr>
      <w:rFonts w:ascii="Times New Roman" w:hAnsi="Times New Roman" w:cs="Times New Roman"/>
      <w:sz w:val="18"/>
      <w:szCs w:val="18"/>
    </w:rPr>
  </w:style>
  <w:style w:type="paragraph" w:styleId="Rvision">
    <w:name w:val="Revision"/>
    <w:hidden/>
    <w:uiPriority w:val="99"/>
    <w:semiHidden/>
    <w:rsid w:val="00D62922"/>
  </w:style>
  <w:style w:type="character" w:customStyle="1" w:styleId="highwire-cite-metadata-journal">
    <w:name w:val="highwire-cite-metadata-journal"/>
    <w:basedOn w:val="Policepardfaut"/>
    <w:rsid w:val="00F864A8"/>
  </w:style>
  <w:style w:type="character" w:customStyle="1" w:styleId="highwire-cite-metadata-date">
    <w:name w:val="highwire-cite-metadata-date"/>
    <w:basedOn w:val="Policepardfaut"/>
    <w:rsid w:val="00F864A8"/>
  </w:style>
  <w:style w:type="character" w:customStyle="1" w:styleId="highwire-cite-metadata-volume">
    <w:name w:val="highwire-cite-metadata-volume"/>
    <w:basedOn w:val="Policepardfaut"/>
    <w:rsid w:val="00F864A8"/>
  </w:style>
  <w:style w:type="character" w:customStyle="1" w:styleId="highwire-cite-metadata-issue">
    <w:name w:val="highwire-cite-metadata-issue"/>
    <w:basedOn w:val="Policepardfaut"/>
    <w:rsid w:val="00F864A8"/>
  </w:style>
  <w:style w:type="character" w:customStyle="1" w:styleId="highwire-cite-metadata-pages">
    <w:name w:val="highwire-cite-metadata-pages"/>
    <w:basedOn w:val="Policepardfaut"/>
    <w:rsid w:val="00F864A8"/>
  </w:style>
  <w:style w:type="character" w:customStyle="1" w:styleId="highwire-cite-metadata-doi">
    <w:name w:val="highwire-cite-metadata-doi"/>
    <w:basedOn w:val="Policepardfaut"/>
    <w:rsid w:val="00F864A8"/>
  </w:style>
  <w:style w:type="character" w:styleId="Marquedecommentaire">
    <w:name w:val="annotation reference"/>
    <w:basedOn w:val="Policepardfaut"/>
    <w:uiPriority w:val="99"/>
    <w:semiHidden/>
    <w:unhideWhenUsed/>
    <w:rsid w:val="0041127E"/>
    <w:rPr>
      <w:sz w:val="16"/>
      <w:szCs w:val="16"/>
    </w:rPr>
  </w:style>
  <w:style w:type="paragraph" w:styleId="Commentaire">
    <w:name w:val="annotation text"/>
    <w:basedOn w:val="Normal"/>
    <w:link w:val="CommentaireCar"/>
    <w:uiPriority w:val="99"/>
    <w:semiHidden/>
    <w:unhideWhenUsed/>
    <w:rsid w:val="0041127E"/>
    <w:rPr>
      <w:sz w:val="20"/>
      <w:szCs w:val="20"/>
    </w:rPr>
  </w:style>
  <w:style w:type="character" w:customStyle="1" w:styleId="CommentaireCar">
    <w:name w:val="Commentaire Car"/>
    <w:basedOn w:val="Policepardfaut"/>
    <w:link w:val="Commentaire"/>
    <w:uiPriority w:val="99"/>
    <w:semiHidden/>
    <w:rsid w:val="0041127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1127E"/>
    <w:rPr>
      <w:b/>
      <w:bCs/>
    </w:rPr>
  </w:style>
  <w:style w:type="character" w:customStyle="1" w:styleId="ObjetducommentaireCar">
    <w:name w:val="Objet du commentaire Car"/>
    <w:basedOn w:val="CommentaireCar"/>
    <w:link w:val="Objetducommentaire"/>
    <w:uiPriority w:val="99"/>
    <w:semiHidden/>
    <w:rsid w:val="0041127E"/>
    <w:rPr>
      <w:rFonts w:ascii="Times New Roman" w:eastAsia="Times New Roman" w:hAnsi="Times New Roman" w:cs="Times New Roman"/>
      <w:b/>
      <w:bCs/>
      <w:sz w:val="20"/>
      <w:szCs w:val="20"/>
      <w:lang w:eastAsia="fr-FR"/>
    </w:rPr>
  </w:style>
  <w:style w:type="character" w:styleId="Mentionnonrsolue">
    <w:name w:val="Unresolved Mention"/>
    <w:basedOn w:val="Policepardfaut"/>
    <w:uiPriority w:val="99"/>
    <w:rsid w:val="001E24EC"/>
    <w:rPr>
      <w:color w:val="605E5C"/>
      <w:shd w:val="clear" w:color="auto" w:fill="E1DFDD"/>
    </w:rPr>
  </w:style>
  <w:style w:type="character" w:styleId="Lienhypertextesuivivisit">
    <w:name w:val="FollowedHyperlink"/>
    <w:basedOn w:val="Policepardfaut"/>
    <w:uiPriority w:val="99"/>
    <w:semiHidden/>
    <w:unhideWhenUsed/>
    <w:rsid w:val="001E24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0080">
      <w:bodyDiv w:val="1"/>
      <w:marLeft w:val="0"/>
      <w:marRight w:val="0"/>
      <w:marTop w:val="0"/>
      <w:marBottom w:val="0"/>
      <w:divBdr>
        <w:top w:val="none" w:sz="0" w:space="0" w:color="auto"/>
        <w:left w:val="none" w:sz="0" w:space="0" w:color="auto"/>
        <w:bottom w:val="none" w:sz="0" w:space="0" w:color="auto"/>
        <w:right w:val="none" w:sz="0" w:space="0" w:color="auto"/>
      </w:divBdr>
    </w:div>
    <w:div w:id="181820077">
      <w:bodyDiv w:val="1"/>
      <w:marLeft w:val="0"/>
      <w:marRight w:val="0"/>
      <w:marTop w:val="0"/>
      <w:marBottom w:val="0"/>
      <w:divBdr>
        <w:top w:val="none" w:sz="0" w:space="0" w:color="auto"/>
        <w:left w:val="none" w:sz="0" w:space="0" w:color="auto"/>
        <w:bottom w:val="none" w:sz="0" w:space="0" w:color="auto"/>
        <w:right w:val="none" w:sz="0" w:space="0" w:color="auto"/>
      </w:divBdr>
    </w:div>
    <w:div w:id="206260486">
      <w:bodyDiv w:val="1"/>
      <w:marLeft w:val="0"/>
      <w:marRight w:val="0"/>
      <w:marTop w:val="0"/>
      <w:marBottom w:val="0"/>
      <w:divBdr>
        <w:top w:val="none" w:sz="0" w:space="0" w:color="auto"/>
        <w:left w:val="none" w:sz="0" w:space="0" w:color="auto"/>
        <w:bottom w:val="none" w:sz="0" w:space="0" w:color="auto"/>
        <w:right w:val="none" w:sz="0" w:space="0" w:color="auto"/>
      </w:divBdr>
    </w:div>
    <w:div w:id="388304690">
      <w:bodyDiv w:val="1"/>
      <w:marLeft w:val="0"/>
      <w:marRight w:val="0"/>
      <w:marTop w:val="0"/>
      <w:marBottom w:val="0"/>
      <w:divBdr>
        <w:top w:val="none" w:sz="0" w:space="0" w:color="auto"/>
        <w:left w:val="none" w:sz="0" w:space="0" w:color="auto"/>
        <w:bottom w:val="none" w:sz="0" w:space="0" w:color="auto"/>
        <w:right w:val="none" w:sz="0" w:space="0" w:color="auto"/>
      </w:divBdr>
    </w:div>
    <w:div w:id="768506602">
      <w:bodyDiv w:val="1"/>
      <w:marLeft w:val="0"/>
      <w:marRight w:val="0"/>
      <w:marTop w:val="0"/>
      <w:marBottom w:val="0"/>
      <w:divBdr>
        <w:top w:val="none" w:sz="0" w:space="0" w:color="auto"/>
        <w:left w:val="none" w:sz="0" w:space="0" w:color="auto"/>
        <w:bottom w:val="none" w:sz="0" w:space="0" w:color="auto"/>
        <w:right w:val="none" w:sz="0" w:space="0" w:color="auto"/>
      </w:divBdr>
    </w:div>
    <w:div w:id="809514943">
      <w:bodyDiv w:val="1"/>
      <w:marLeft w:val="0"/>
      <w:marRight w:val="0"/>
      <w:marTop w:val="0"/>
      <w:marBottom w:val="0"/>
      <w:divBdr>
        <w:top w:val="none" w:sz="0" w:space="0" w:color="auto"/>
        <w:left w:val="none" w:sz="0" w:space="0" w:color="auto"/>
        <w:bottom w:val="none" w:sz="0" w:space="0" w:color="auto"/>
        <w:right w:val="none" w:sz="0" w:space="0" w:color="auto"/>
      </w:divBdr>
    </w:div>
    <w:div w:id="831946506">
      <w:bodyDiv w:val="1"/>
      <w:marLeft w:val="0"/>
      <w:marRight w:val="0"/>
      <w:marTop w:val="0"/>
      <w:marBottom w:val="0"/>
      <w:divBdr>
        <w:top w:val="none" w:sz="0" w:space="0" w:color="auto"/>
        <w:left w:val="none" w:sz="0" w:space="0" w:color="auto"/>
        <w:bottom w:val="none" w:sz="0" w:space="0" w:color="auto"/>
        <w:right w:val="none" w:sz="0" w:space="0" w:color="auto"/>
      </w:divBdr>
    </w:div>
    <w:div w:id="1020546019">
      <w:bodyDiv w:val="1"/>
      <w:marLeft w:val="0"/>
      <w:marRight w:val="0"/>
      <w:marTop w:val="0"/>
      <w:marBottom w:val="0"/>
      <w:divBdr>
        <w:top w:val="none" w:sz="0" w:space="0" w:color="auto"/>
        <w:left w:val="none" w:sz="0" w:space="0" w:color="auto"/>
        <w:bottom w:val="none" w:sz="0" w:space="0" w:color="auto"/>
        <w:right w:val="none" w:sz="0" w:space="0" w:color="auto"/>
      </w:divBdr>
    </w:div>
    <w:div w:id="1072850616">
      <w:bodyDiv w:val="1"/>
      <w:marLeft w:val="0"/>
      <w:marRight w:val="0"/>
      <w:marTop w:val="0"/>
      <w:marBottom w:val="0"/>
      <w:divBdr>
        <w:top w:val="none" w:sz="0" w:space="0" w:color="auto"/>
        <w:left w:val="none" w:sz="0" w:space="0" w:color="auto"/>
        <w:bottom w:val="none" w:sz="0" w:space="0" w:color="auto"/>
        <w:right w:val="none" w:sz="0" w:space="0" w:color="auto"/>
      </w:divBdr>
    </w:div>
    <w:div w:id="1080180440">
      <w:bodyDiv w:val="1"/>
      <w:marLeft w:val="0"/>
      <w:marRight w:val="0"/>
      <w:marTop w:val="0"/>
      <w:marBottom w:val="0"/>
      <w:divBdr>
        <w:top w:val="none" w:sz="0" w:space="0" w:color="auto"/>
        <w:left w:val="none" w:sz="0" w:space="0" w:color="auto"/>
        <w:bottom w:val="none" w:sz="0" w:space="0" w:color="auto"/>
        <w:right w:val="none" w:sz="0" w:space="0" w:color="auto"/>
      </w:divBdr>
      <w:divsChild>
        <w:div w:id="1460223422">
          <w:marLeft w:val="0"/>
          <w:marRight w:val="0"/>
          <w:marTop w:val="0"/>
          <w:marBottom w:val="0"/>
          <w:divBdr>
            <w:top w:val="none" w:sz="0" w:space="0" w:color="auto"/>
            <w:left w:val="none" w:sz="0" w:space="0" w:color="auto"/>
            <w:bottom w:val="none" w:sz="0" w:space="0" w:color="auto"/>
            <w:right w:val="none" w:sz="0" w:space="0" w:color="auto"/>
          </w:divBdr>
          <w:divsChild>
            <w:div w:id="595942208">
              <w:marLeft w:val="0"/>
              <w:marRight w:val="0"/>
              <w:marTop w:val="0"/>
              <w:marBottom w:val="0"/>
              <w:divBdr>
                <w:top w:val="none" w:sz="0" w:space="0" w:color="auto"/>
                <w:left w:val="none" w:sz="0" w:space="0" w:color="auto"/>
                <w:bottom w:val="none" w:sz="0" w:space="0" w:color="auto"/>
                <w:right w:val="none" w:sz="0" w:space="0" w:color="auto"/>
              </w:divBdr>
              <w:divsChild>
                <w:div w:id="691690323">
                  <w:marLeft w:val="0"/>
                  <w:marRight w:val="0"/>
                  <w:marTop w:val="0"/>
                  <w:marBottom w:val="0"/>
                  <w:divBdr>
                    <w:top w:val="none" w:sz="0" w:space="0" w:color="auto"/>
                    <w:left w:val="none" w:sz="0" w:space="0" w:color="auto"/>
                    <w:bottom w:val="none" w:sz="0" w:space="0" w:color="auto"/>
                    <w:right w:val="none" w:sz="0" w:space="0" w:color="auto"/>
                  </w:divBdr>
                  <w:divsChild>
                    <w:div w:id="1855416755">
                      <w:marLeft w:val="0"/>
                      <w:marRight w:val="0"/>
                      <w:marTop w:val="0"/>
                      <w:marBottom w:val="0"/>
                      <w:divBdr>
                        <w:top w:val="none" w:sz="0" w:space="0" w:color="auto"/>
                        <w:left w:val="none" w:sz="0" w:space="0" w:color="auto"/>
                        <w:bottom w:val="none" w:sz="0" w:space="0" w:color="auto"/>
                        <w:right w:val="none" w:sz="0" w:space="0" w:color="auto"/>
                      </w:divBdr>
                    </w:div>
                  </w:divsChild>
                </w:div>
                <w:div w:id="261955740">
                  <w:marLeft w:val="0"/>
                  <w:marRight w:val="0"/>
                  <w:marTop w:val="0"/>
                  <w:marBottom w:val="0"/>
                  <w:divBdr>
                    <w:top w:val="none" w:sz="0" w:space="0" w:color="auto"/>
                    <w:left w:val="none" w:sz="0" w:space="0" w:color="auto"/>
                    <w:bottom w:val="none" w:sz="0" w:space="0" w:color="auto"/>
                    <w:right w:val="none" w:sz="0" w:space="0" w:color="auto"/>
                  </w:divBdr>
                  <w:divsChild>
                    <w:div w:id="64593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690018">
      <w:bodyDiv w:val="1"/>
      <w:marLeft w:val="0"/>
      <w:marRight w:val="0"/>
      <w:marTop w:val="0"/>
      <w:marBottom w:val="0"/>
      <w:divBdr>
        <w:top w:val="none" w:sz="0" w:space="0" w:color="auto"/>
        <w:left w:val="none" w:sz="0" w:space="0" w:color="auto"/>
        <w:bottom w:val="none" w:sz="0" w:space="0" w:color="auto"/>
        <w:right w:val="none" w:sz="0" w:space="0" w:color="auto"/>
      </w:divBdr>
    </w:div>
    <w:div w:id="1378778181">
      <w:bodyDiv w:val="1"/>
      <w:marLeft w:val="0"/>
      <w:marRight w:val="0"/>
      <w:marTop w:val="0"/>
      <w:marBottom w:val="0"/>
      <w:divBdr>
        <w:top w:val="none" w:sz="0" w:space="0" w:color="auto"/>
        <w:left w:val="none" w:sz="0" w:space="0" w:color="auto"/>
        <w:bottom w:val="none" w:sz="0" w:space="0" w:color="auto"/>
        <w:right w:val="none" w:sz="0" w:space="0" w:color="auto"/>
      </w:divBdr>
      <w:divsChild>
        <w:div w:id="752042839">
          <w:marLeft w:val="0"/>
          <w:marRight w:val="0"/>
          <w:marTop w:val="0"/>
          <w:marBottom w:val="0"/>
          <w:divBdr>
            <w:top w:val="none" w:sz="0" w:space="0" w:color="auto"/>
            <w:left w:val="none" w:sz="0" w:space="0" w:color="auto"/>
            <w:bottom w:val="none" w:sz="0" w:space="0" w:color="auto"/>
            <w:right w:val="none" w:sz="0" w:space="0" w:color="auto"/>
          </w:divBdr>
        </w:div>
        <w:div w:id="2088645632">
          <w:marLeft w:val="0"/>
          <w:marRight w:val="0"/>
          <w:marTop w:val="0"/>
          <w:marBottom w:val="0"/>
          <w:divBdr>
            <w:top w:val="none" w:sz="0" w:space="0" w:color="auto"/>
            <w:left w:val="none" w:sz="0" w:space="0" w:color="auto"/>
            <w:bottom w:val="none" w:sz="0" w:space="0" w:color="auto"/>
            <w:right w:val="none" w:sz="0" w:space="0" w:color="auto"/>
          </w:divBdr>
        </w:div>
        <w:div w:id="2087989661">
          <w:marLeft w:val="0"/>
          <w:marRight w:val="0"/>
          <w:marTop w:val="0"/>
          <w:marBottom w:val="0"/>
          <w:divBdr>
            <w:top w:val="none" w:sz="0" w:space="0" w:color="auto"/>
            <w:left w:val="none" w:sz="0" w:space="0" w:color="auto"/>
            <w:bottom w:val="none" w:sz="0" w:space="0" w:color="auto"/>
            <w:right w:val="none" w:sz="0" w:space="0" w:color="auto"/>
          </w:divBdr>
        </w:div>
        <w:div w:id="1755007646">
          <w:marLeft w:val="0"/>
          <w:marRight w:val="0"/>
          <w:marTop w:val="0"/>
          <w:marBottom w:val="0"/>
          <w:divBdr>
            <w:top w:val="none" w:sz="0" w:space="0" w:color="auto"/>
            <w:left w:val="none" w:sz="0" w:space="0" w:color="auto"/>
            <w:bottom w:val="none" w:sz="0" w:space="0" w:color="auto"/>
            <w:right w:val="none" w:sz="0" w:space="0" w:color="auto"/>
          </w:divBdr>
        </w:div>
        <w:div w:id="714042278">
          <w:marLeft w:val="0"/>
          <w:marRight w:val="0"/>
          <w:marTop w:val="0"/>
          <w:marBottom w:val="0"/>
          <w:divBdr>
            <w:top w:val="none" w:sz="0" w:space="0" w:color="auto"/>
            <w:left w:val="none" w:sz="0" w:space="0" w:color="auto"/>
            <w:bottom w:val="none" w:sz="0" w:space="0" w:color="auto"/>
            <w:right w:val="none" w:sz="0" w:space="0" w:color="auto"/>
          </w:divBdr>
        </w:div>
        <w:div w:id="1880163083">
          <w:marLeft w:val="0"/>
          <w:marRight w:val="0"/>
          <w:marTop w:val="0"/>
          <w:marBottom w:val="0"/>
          <w:divBdr>
            <w:top w:val="none" w:sz="0" w:space="0" w:color="auto"/>
            <w:left w:val="none" w:sz="0" w:space="0" w:color="auto"/>
            <w:bottom w:val="none" w:sz="0" w:space="0" w:color="auto"/>
            <w:right w:val="none" w:sz="0" w:space="0" w:color="auto"/>
          </w:divBdr>
        </w:div>
        <w:div w:id="872153657">
          <w:marLeft w:val="0"/>
          <w:marRight w:val="0"/>
          <w:marTop w:val="0"/>
          <w:marBottom w:val="0"/>
          <w:divBdr>
            <w:top w:val="none" w:sz="0" w:space="0" w:color="auto"/>
            <w:left w:val="none" w:sz="0" w:space="0" w:color="auto"/>
            <w:bottom w:val="none" w:sz="0" w:space="0" w:color="auto"/>
            <w:right w:val="none" w:sz="0" w:space="0" w:color="auto"/>
          </w:divBdr>
        </w:div>
        <w:div w:id="1100566395">
          <w:marLeft w:val="0"/>
          <w:marRight w:val="0"/>
          <w:marTop w:val="0"/>
          <w:marBottom w:val="0"/>
          <w:divBdr>
            <w:top w:val="none" w:sz="0" w:space="0" w:color="auto"/>
            <w:left w:val="none" w:sz="0" w:space="0" w:color="auto"/>
            <w:bottom w:val="none" w:sz="0" w:space="0" w:color="auto"/>
            <w:right w:val="none" w:sz="0" w:space="0" w:color="auto"/>
          </w:divBdr>
        </w:div>
        <w:div w:id="1028529707">
          <w:marLeft w:val="0"/>
          <w:marRight w:val="0"/>
          <w:marTop w:val="0"/>
          <w:marBottom w:val="0"/>
          <w:divBdr>
            <w:top w:val="none" w:sz="0" w:space="0" w:color="auto"/>
            <w:left w:val="none" w:sz="0" w:space="0" w:color="auto"/>
            <w:bottom w:val="none" w:sz="0" w:space="0" w:color="auto"/>
            <w:right w:val="none" w:sz="0" w:space="0" w:color="auto"/>
          </w:divBdr>
        </w:div>
        <w:div w:id="1915968008">
          <w:marLeft w:val="0"/>
          <w:marRight w:val="0"/>
          <w:marTop w:val="0"/>
          <w:marBottom w:val="0"/>
          <w:divBdr>
            <w:top w:val="none" w:sz="0" w:space="0" w:color="auto"/>
            <w:left w:val="none" w:sz="0" w:space="0" w:color="auto"/>
            <w:bottom w:val="none" w:sz="0" w:space="0" w:color="auto"/>
            <w:right w:val="none" w:sz="0" w:space="0" w:color="auto"/>
          </w:divBdr>
        </w:div>
        <w:div w:id="178395021">
          <w:marLeft w:val="0"/>
          <w:marRight w:val="0"/>
          <w:marTop w:val="0"/>
          <w:marBottom w:val="0"/>
          <w:divBdr>
            <w:top w:val="none" w:sz="0" w:space="0" w:color="auto"/>
            <w:left w:val="none" w:sz="0" w:space="0" w:color="auto"/>
            <w:bottom w:val="none" w:sz="0" w:space="0" w:color="auto"/>
            <w:right w:val="none" w:sz="0" w:space="0" w:color="auto"/>
          </w:divBdr>
        </w:div>
        <w:div w:id="587160392">
          <w:marLeft w:val="0"/>
          <w:marRight w:val="0"/>
          <w:marTop w:val="0"/>
          <w:marBottom w:val="0"/>
          <w:divBdr>
            <w:top w:val="none" w:sz="0" w:space="0" w:color="auto"/>
            <w:left w:val="none" w:sz="0" w:space="0" w:color="auto"/>
            <w:bottom w:val="none" w:sz="0" w:space="0" w:color="auto"/>
            <w:right w:val="none" w:sz="0" w:space="0" w:color="auto"/>
          </w:divBdr>
        </w:div>
        <w:div w:id="2052416968">
          <w:marLeft w:val="0"/>
          <w:marRight w:val="0"/>
          <w:marTop w:val="0"/>
          <w:marBottom w:val="0"/>
          <w:divBdr>
            <w:top w:val="none" w:sz="0" w:space="0" w:color="auto"/>
            <w:left w:val="none" w:sz="0" w:space="0" w:color="auto"/>
            <w:bottom w:val="none" w:sz="0" w:space="0" w:color="auto"/>
            <w:right w:val="none" w:sz="0" w:space="0" w:color="auto"/>
          </w:divBdr>
        </w:div>
        <w:div w:id="1110507785">
          <w:marLeft w:val="0"/>
          <w:marRight w:val="0"/>
          <w:marTop w:val="0"/>
          <w:marBottom w:val="0"/>
          <w:divBdr>
            <w:top w:val="none" w:sz="0" w:space="0" w:color="auto"/>
            <w:left w:val="none" w:sz="0" w:space="0" w:color="auto"/>
            <w:bottom w:val="none" w:sz="0" w:space="0" w:color="auto"/>
            <w:right w:val="none" w:sz="0" w:space="0" w:color="auto"/>
          </w:divBdr>
        </w:div>
        <w:div w:id="878905272">
          <w:marLeft w:val="0"/>
          <w:marRight w:val="0"/>
          <w:marTop w:val="0"/>
          <w:marBottom w:val="0"/>
          <w:divBdr>
            <w:top w:val="none" w:sz="0" w:space="0" w:color="auto"/>
            <w:left w:val="none" w:sz="0" w:space="0" w:color="auto"/>
            <w:bottom w:val="none" w:sz="0" w:space="0" w:color="auto"/>
            <w:right w:val="none" w:sz="0" w:space="0" w:color="auto"/>
          </w:divBdr>
        </w:div>
        <w:div w:id="651443820">
          <w:marLeft w:val="0"/>
          <w:marRight w:val="0"/>
          <w:marTop w:val="0"/>
          <w:marBottom w:val="0"/>
          <w:divBdr>
            <w:top w:val="none" w:sz="0" w:space="0" w:color="auto"/>
            <w:left w:val="none" w:sz="0" w:space="0" w:color="auto"/>
            <w:bottom w:val="none" w:sz="0" w:space="0" w:color="auto"/>
            <w:right w:val="none" w:sz="0" w:space="0" w:color="auto"/>
          </w:divBdr>
        </w:div>
        <w:div w:id="1615791370">
          <w:marLeft w:val="0"/>
          <w:marRight w:val="0"/>
          <w:marTop w:val="0"/>
          <w:marBottom w:val="0"/>
          <w:divBdr>
            <w:top w:val="none" w:sz="0" w:space="0" w:color="auto"/>
            <w:left w:val="none" w:sz="0" w:space="0" w:color="auto"/>
            <w:bottom w:val="none" w:sz="0" w:space="0" w:color="auto"/>
            <w:right w:val="none" w:sz="0" w:space="0" w:color="auto"/>
          </w:divBdr>
        </w:div>
      </w:divsChild>
    </w:div>
    <w:div w:id="1652367937">
      <w:bodyDiv w:val="1"/>
      <w:marLeft w:val="0"/>
      <w:marRight w:val="0"/>
      <w:marTop w:val="0"/>
      <w:marBottom w:val="0"/>
      <w:divBdr>
        <w:top w:val="none" w:sz="0" w:space="0" w:color="auto"/>
        <w:left w:val="none" w:sz="0" w:space="0" w:color="auto"/>
        <w:bottom w:val="none" w:sz="0" w:space="0" w:color="auto"/>
        <w:right w:val="none" w:sz="0" w:space="0" w:color="auto"/>
      </w:divBdr>
    </w:div>
    <w:div w:id="1700353025">
      <w:bodyDiv w:val="1"/>
      <w:marLeft w:val="0"/>
      <w:marRight w:val="0"/>
      <w:marTop w:val="0"/>
      <w:marBottom w:val="0"/>
      <w:divBdr>
        <w:top w:val="none" w:sz="0" w:space="0" w:color="auto"/>
        <w:left w:val="none" w:sz="0" w:space="0" w:color="auto"/>
        <w:bottom w:val="none" w:sz="0" w:space="0" w:color="auto"/>
        <w:right w:val="none" w:sz="0" w:space="0" w:color="auto"/>
      </w:divBdr>
      <w:divsChild>
        <w:div w:id="941038620">
          <w:marLeft w:val="0"/>
          <w:marRight w:val="0"/>
          <w:marTop w:val="0"/>
          <w:marBottom w:val="0"/>
          <w:divBdr>
            <w:top w:val="none" w:sz="0" w:space="0" w:color="auto"/>
            <w:left w:val="none" w:sz="0" w:space="0" w:color="auto"/>
            <w:bottom w:val="none" w:sz="0" w:space="0" w:color="auto"/>
            <w:right w:val="none" w:sz="0" w:space="0" w:color="auto"/>
          </w:divBdr>
          <w:divsChild>
            <w:div w:id="1364748417">
              <w:marLeft w:val="0"/>
              <w:marRight w:val="0"/>
              <w:marTop w:val="0"/>
              <w:marBottom w:val="0"/>
              <w:divBdr>
                <w:top w:val="none" w:sz="0" w:space="0" w:color="auto"/>
                <w:left w:val="none" w:sz="0" w:space="0" w:color="auto"/>
                <w:bottom w:val="none" w:sz="0" w:space="0" w:color="auto"/>
                <w:right w:val="none" w:sz="0" w:space="0" w:color="auto"/>
              </w:divBdr>
              <w:divsChild>
                <w:div w:id="996154479">
                  <w:marLeft w:val="0"/>
                  <w:marRight w:val="0"/>
                  <w:marTop w:val="0"/>
                  <w:marBottom w:val="0"/>
                  <w:divBdr>
                    <w:top w:val="none" w:sz="0" w:space="0" w:color="auto"/>
                    <w:left w:val="none" w:sz="0" w:space="0" w:color="auto"/>
                    <w:bottom w:val="none" w:sz="0" w:space="0" w:color="auto"/>
                    <w:right w:val="none" w:sz="0" w:space="0" w:color="auto"/>
                  </w:divBdr>
                  <w:divsChild>
                    <w:div w:id="209508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82774">
      <w:bodyDiv w:val="1"/>
      <w:marLeft w:val="0"/>
      <w:marRight w:val="0"/>
      <w:marTop w:val="0"/>
      <w:marBottom w:val="0"/>
      <w:divBdr>
        <w:top w:val="none" w:sz="0" w:space="0" w:color="auto"/>
        <w:left w:val="none" w:sz="0" w:space="0" w:color="auto"/>
        <w:bottom w:val="none" w:sz="0" w:space="0" w:color="auto"/>
        <w:right w:val="none" w:sz="0" w:space="0" w:color="auto"/>
      </w:divBdr>
      <w:divsChild>
        <w:div w:id="2096320904">
          <w:marLeft w:val="0"/>
          <w:marRight w:val="0"/>
          <w:marTop w:val="0"/>
          <w:marBottom w:val="0"/>
          <w:divBdr>
            <w:top w:val="none" w:sz="0" w:space="0" w:color="auto"/>
            <w:left w:val="none" w:sz="0" w:space="0" w:color="auto"/>
            <w:bottom w:val="none" w:sz="0" w:space="0" w:color="auto"/>
            <w:right w:val="none" w:sz="0" w:space="0" w:color="auto"/>
          </w:divBdr>
          <w:divsChild>
            <w:div w:id="1611428645">
              <w:marLeft w:val="0"/>
              <w:marRight w:val="0"/>
              <w:marTop w:val="0"/>
              <w:marBottom w:val="0"/>
              <w:divBdr>
                <w:top w:val="none" w:sz="0" w:space="0" w:color="auto"/>
                <w:left w:val="none" w:sz="0" w:space="0" w:color="auto"/>
                <w:bottom w:val="none" w:sz="0" w:space="0" w:color="auto"/>
                <w:right w:val="none" w:sz="0" w:space="0" w:color="auto"/>
              </w:divBdr>
              <w:divsChild>
                <w:div w:id="1335256584">
                  <w:marLeft w:val="0"/>
                  <w:marRight w:val="0"/>
                  <w:marTop w:val="0"/>
                  <w:marBottom w:val="0"/>
                  <w:divBdr>
                    <w:top w:val="none" w:sz="0" w:space="0" w:color="auto"/>
                    <w:left w:val="none" w:sz="0" w:space="0" w:color="auto"/>
                    <w:bottom w:val="none" w:sz="0" w:space="0" w:color="auto"/>
                    <w:right w:val="none" w:sz="0" w:space="0" w:color="auto"/>
                  </w:divBdr>
                  <w:divsChild>
                    <w:div w:id="117260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73/pnas.210171811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443A2-257E-48C9-A217-5D8ADF33C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1127</Words>
  <Characters>6200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Boutron</dc:creator>
  <cp:keywords/>
  <dc:description/>
  <cp:lastModifiedBy>isabelle Boutron</cp:lastModifiedBy>
  <cp:revision>11</cp:revision>
  <dcterms:created xsi:type="dcterms:W3CDTF">2021-12-14T14:16:00Z</dcterms:created>
  <dcterms:modified xsi:type="dcterms:W3CDTF">2021-12-14T17:20:00Z</dcterms:modified>
</cp:coreProperties>
</file>